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2560" w:firstLineChars="800"/>
        <w:jc w:val="both"/>
        <w:rPr>
          <w:rFonts w:hint="eastAsia" w:ascii="仿宋_GB2312" w:eastAsia="仿宋_GB2312"/>
          <w:sz w:val="32"/>
          <w:szCs w:val="32"/>
        </w:rPr>
      </w:pPr>
    </w:p>
    <w:p>
      <w:pPr>
        <w:pStyle w:val="2"/>
        <w:ind w:firstLine="2560" w:firstLineChars="800"/>
        <w:jc w:val="both"/>
        <w:rPr>
          <w:rFonts w:hint="eastAsia" w:ascii="仿宋_GB2312" w:eastAsia="仿宋_GB2312"/>
          <w:sz w:val="32"/>
          <w:szCs w:val="32"/>
        </w:rPr>
      </w:pPr>
    </w:p>
    <w:p>
      <w:pPr>
        <w:pStyle w:val="2"/>
        <w:ind w:firstLine="2560" w:firstLineChars="800"/>
        <w:jc w:val="both"/>
        <w:rPr>
          <w:rFonts w:hint="eastAsia" w:ascii="仿宋_GB2312" w:eastAsia="仿宋_GB2312"/>
          <w:sz w:val="32"/>
          <w:szCs w:val="32"/>
        </w:rPr>
      </w:pPr>
    </w:p>
    <w:p>
      <w:pPr>
        <w:pStyle w:val="2"/>
        <w:ind w:firstLine="2560" w:firstLineChars="800"/>
        <w:jc w:val="both"/>
        <w:rPr>
          <w:rFonts w:hint="eastAsia" w:ascii="仿宋_GB2312" w:eastAsia="仿宋_GB2312"/>
          <w:sz w:val="32"/>
          <w:szCs w:val="32"/>
        </w:rPr>
      </w:pPr>
      <w:r>
        <w:rPr>
          <w:rFonts w:hint="eastAsia" w:ascii="仿宋_GB2312" w:eastAsia="仿宋_GB2312"/>
          <w:sz w:val="32"/>
          <w:szCs w:val="32"/>
        </w:rPr>
        <w:t>泉丰</w:t>
      </w:r>
      <w:r>
        <w:rPr>
          <w:rFonts w:hint="eastAsia" w:ascii="仿宋_GB2312" w:eastAsia="仿宋_GB2312"/>
          <w:sz w:val="32"/>
          <w:szCs w:val="32"/>
          <w:lang w:eastAsia="zh-CN"/>
        </w:rPr>
        <w:t>东办</w:t>
      </w:r>
      <w:r>
        <w:rPr>
          <w:rFonts w:hint="eastAsia"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rPr>
        <w:t>〕</w:t>
      </w:r>
      <w:r>
        <w:rPr>
          <w:rFonts w:hint="eastAsia" w:ascii="仿宋_GB2312" w:eastAsia="仿宋_GB2312"/>
          <w:sz w:val="32"/>
          <w:szCs w:val="32"/>
          <w:lang w:val="en-US" w:eastAsia="zh-CN"/>
        </w:rPr>
        <w:t xml:space="preserve"> 1 </w:t>
      </w:r>
      <w:r>
        <w:rPr>
          <w:rFonts w:hint="eastAsia" w:ascii="仿宋_GB2312" w:eastAsia="仿宋_GB2312"/>
          <w:sz w:val="32"/>
          <w:szCs w:val="32"/>
        </w:rPr>
        <w:t>号</w:t>
      </w:r>
    </w:p>
    <w:p>
      <w:pPr>
        <w:widowControl/>
        <w:jc w:val="center"/>
        <w:rPr>
          <w:rFonts w:hint="eastAsia" w:ascii="Times New Roman" w:hAnsi="Times New Roman" w:eastAsia="方正小标宋简体" w:cs="Times New Roman"/>
          <w:bCs/>
          <w:color w:val="000000"/>
          <w:kern w:val="0"/>
          <w:sz w:val="44"/>
          <w:szCs w:val="44"/>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Cs/>
          <w:color w:val="000000"/>
          <w:kern w:val="0"/>
          <w:sz w:val="44"/>
          <w:szCs w:val="44"/>
          <w:lang w:eastAsia="zh-CN"/>
        </w:rPr>
      </w:pPr>
      <w:r>
        <w:rPr>
          <w:rFonts w:hint="eastAsia" w:ascii="Times New Roman" w:hAnsi="Times New Roman" w:eastAsia="方正小标宋简体" w:cs="Times New Roman"/>
          <w:bCs/>
          <w:color w:val="000000"/>
          <w:kern w:val="0"/>
          <w:sz w:val="44"/>
          <w:szCs w:val="44"/>
          <w:lang w:eastAsia="zh-CN"/>
        </w:rPr>
        <w:t>丰泽区人民政府东湖街道办事处</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bCs/>
          <w:color w:val="000000"/>
          <w:kern w:val="0"/>
          <w:sz w:val="44"/>
          <w:szCs w:val="44"/>
          <w:lang w:val="en-US" w:eastAsia="zh-CN"/>
        </w:rPr>
        <w:t>2023年</w:t>
      </w:r>
      <w:r>
        <w:rPr>
          <w:rFonts w:ascii="Times New Roman" w:hAnsi="Times New Roman" w:eastAsia="方正小标宋简体" w:cs="Times New Roman"/>
          <w:bCs/>
          <w:color w:val="000000"/>
          <w:kern w:val="0"/>
          <w:sz w:val="44"/>
          <w:szCs w:val="44"/>
        </w:rPr>
        <w:t>政府信息公开工作年度报告</w:t>
      </w:r>
    </w:p>
    <w:p>
      <w:pPr>
        <w:pStyle w:val="4"/>
        <w:spacing w:before="0" w:beforeAutospacing="0" w:after="0" w:afterAutospacing="0" w:line="580" w:lineRule="exact"/>
        <w:ind w:firstLine="600" w:firstLineChars="200"/>
        <w:jc w:val="both"/>
        <w:rPr>
          <w:rFonts w:hint="default" w:eastAsia="方正小标宋简体" w:cs="Calibri Light" w:asciiTheme="minorAscii" w:hAnsiTheme="minorAscii"/>
          <w:bCs/>
          <w:color w:val="000000"/>
          <w:sz w:val="30"/>
          <w:szCs w:val="30"/>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本年度报告</w:t>
      </w:r>
      <w:r>
        <w:rPr>
          <w:rFonts w:hint="eastAsia" w:ascii="仿宋_GB2312" w:hAnsi="仿宋_GB2312" w:eastAsia="仿宋_GB2312" w:cs="仿宋_GB2312"/>
          <w:kern w:val="2"/>
          <w:sz w:val="32"/>
          <w:szCs w:val="32"/>
        </w:rPr>
        <w:t>根据</w:t>
      </w:r>
      <w:r>
        <w:rPr>
          <w:rFonts w:hint="eastAsia" w:ascii="仿宋_GB2312" w:hAnsi="仿宋_GB2312" w:eastAsia="仿宋_GB2312" w:cs="仿宋_GB2312"/>
          <w:color w:val="000000"/>
          <w:kern w:val="0"/>
          <w:sz w:val="32"/>
          <w:szCs w:val="32"/>
          <w:shd w:val="clear" w:fill="FFFFFF"/>
          <w:lang w:val="en-US" w:eastAsia="zh-CN" w:bidi="ar"/>
        </w:rPr>
        <w:t>《中华人民共和国政府信息公开条例》和《福建省政府信息公开办法》</w:t>
      </w:r>
      <w:r>
        <w:rPr>
          <w:rFonts w:hint="eastAsia" w:ascii="仿宋_GB2312" w:hAnsi="仿宋_GB2312" w:eastAsia="仿宋_GB2312" w:cs="仿宋_GB2312"/>
          <w:kern w:val="2"/>
          <w:sz w:val="32"/>
          <w:szCs w:val="32"/>
        </w:rPr>
        <w:t>要求，搭建完成政府信息公开网络系统，并录入了大量信息。截至20</w:t>
      </w:r>
      <w:r>
        <w:rPr>
          <w:rFonts w:hint="eastAsia" w:ascii="仿宋_GB2312" w:hAnsi="仿宋_GB2312" w:eastAsia="仿宋_GB2312" w:cs="仿宋_GB2312"/>
          <w:kern w:val="2"/>
          <w:sz w:val="32"/>
          <w:szCs w:val="32"/>
          <w:lang w:val="en-US" w:eastAsia="zh-CN"/>
        </w:rPr>
        <w:t>23</w:t>
      </w:r>
      <w:r>
        <w:rPr>
          <w:rFonts w:hint="eastAsia" w:ascii="仿宋_GB2312" w:hAnsi="仿宋_GB2312" w:eastAsia="仿宋_GB2312" w:cs="仿宋_GB2312"/>
          <w:kern w:val="2"/>
          <w:sz w:val="32"/>
          <w:szCs w:val="32"/>
        </w:rPr>
        <w:t>年底，本单位政府信息公开工作运行正常，政府信息公开工作顺利开展。</w:t>
      </w:r>
      <w:r>
        <w:rPr>
          <w:rFonts w:hint="eastAsia" w:ascii="仿宋_GB2312" w:hAnsi="仿宋_GB2312" w:eastAsia="仿宋_GB2312" w:cs="仿宋_GB2312"/>
          <w:color w:val="000000"/>
          <w:kern w:val="0"/>
          <w:sz w:val="32"/>
          <w:szCs w:val="32"/>
          <w:shd w:val="clear" w:fill="FFFFFF"/>
          <w:lang w:val="en-US" w:eastAsia="zh-CN" w:bidi="ar"/>
        </w:rPr>
        <w:t>本年报的电子版可在丰泽区政府网站（www.qzfz.gov.cn）信息公开专栏的街道信息公开栏中下载。如对本年报有疑问，请与丰泽区人民政府东湖街道办事处联系（地址：东湖街东仁路1号，邮编：362000，电话：22985539，电子邮箱：dzb22985539@163.com）</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eastAsia="zh-CN"/>
        </w:rPr>
        <w:t>一、总体情况</w:t>
      </w:r>
      <w:r>
        <w:rPr>
          <w:rFonts w:hint="eastAsia" w:ascii="黑体" w:hAnsi="黑体" w:eastAsia="黑体" w:cs="黑体"/>
          <w:kern w:val="2"/>
          <w:sz w:val="32"/>
          <w:szCs w:val="32"/>
          <w:lang w:val="en-US" w:eastAsia="zh-CN"/>
        </w:rPr>
        <w:t xml:space="preserve"> </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东湖街道</w:t>
      </w:r>
      <w:r>
        <w:rPr>
          <w:rFonts w:hint="eastAsia" w:ascii="仿宋_GB2312" w:hAnsi="仿宋_GB2312" w:eastAsia="仿宋_GB2312" w:cs="仿宋_GB2312"/>
          <w:color w:val="000000"/>
          <w:sz w:val="32"/>
          <w:szCs w:val="32"/>
        </w:rPr>
        <w:t>坚持“严格依法、全面真实、注重实效、及时便民”的政府信息公开原则，认真按照区委、区政府有关政务公开的要求和部署，把政务公开工作纳入重要议事日程，按照《中华人民共和国政府信息公开条例》和以公开为原则，以不公开为例外”的工作要求，以行政权力为重点，以政务公开为原则，以电子政务为载体，加强组织领导，建立完善</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监督、检查机制，服务承诺制等多项规章制度。对全年政府信息公开工作有部署、有检查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组织全体干部集中进行学习培训，推动政府信息公开工作逐步走向规范化、科学化。</w:t>
      </w:r>
    </w:p>
    <w:p>
      <w:pPr>
        <w:keepNext w:val="0"/>
        <w:keepLines w:val="0"/>
        <w:pageBreakBefore w:val="0"/>
        <w:widowControl/>
        <w:numPr>
          <w:ilvl w:val="0"/>
          <w:numId w:val="0"/>
        </w:numPr>
        <w:kinsoku/>
        <w:wordWrap/>
        <w:overflowPunct/>
        <w:topLinePunct w:val="0"/>
        <w:autoSpaceDE/>
        <w:autoSpaceDN/>
        <w:bidi w:val="0"/>
        <w:adjustRightInd/>
        <w:snapToGrid/>
        <w:spacing w:line="55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kern w:val="2"/>
          <w:sz w:val="32"/>
          <w:szCs w:val="32"/>
        </w:rPr>
        <w:t>（一）主动公开情况。街道坚持以公开透明、服务中心、方便群众为立足点，依法及时准确地公开工作动态和政府信息。</w:t>
      </w:r>
      <w:r>
        <w:rPr>
          <w:rFonts w:hint="default"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年，</w:t>
      </w:r>
      <w:r>
        <w:rPr>
          <w:rFonts w:hint="eastAsia" w:ascii="仿宋_GB2312" w:hAnsi="仿宋_GB2312" w:eastAsia="仿宋_GB2312" w:cs="仿宋_GB2312"/>
          <w:color w:val="000000"/>
          <w:kern w:val="0"/>
          <w:sz w:val="32"/>
          <w:szCs w:val="32"/>
          <w:lang w:val="en-US" w:eastAsia="zh-CN" w:bidi="ar-SA"/>
        </w:rPr>
        <w:t>街道共主动公开政府信息7条，历年累计主动公开信息318条，全文电子化率达100%。其中，工作情况信息5</w:t>
      </w:r>
      <w:bookmarkStart w:id="0" w:name="_GoBack"/>
      <w:bookmarkEnd w:id="0"/>
      <w:r>
        <w:rPr>
          <w:rFonts w:hint="eastAsia" w:ascii="仿宋_GB2312" w:hAnsi="仿宋_GB2312" w:eastAsia="仿宋_GB2312" w:cs="仿宋_GB2312"/>
          <w:color w:val="000000"/>
          <w:kern w:val="0"/>
          <w:sz w:val="32"/>
          <w:szCs w:val="32"/>
          <w:lang w:val="en-US" w:eastAsia="zh-CN" w:bidi="ar-SA"/>
        </w:rPr>
        <w:t>条，机构职能类的1条，政府信息公开年度报告1条。街道对涉及地区群众切身利益和需要社会公众广泛知晓或者参与的重要信息均做到了及时、准确的公开。</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（二）依申请公开情况。</w:t>
      </w:r>
      <w:r>
        <w:rPr>
          <w:rFonts w:hint="default"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eastAsia="zh-CN"/>
        </w:rPr>
        <w:t>东湖</w:t>
      </w:r>
      <w:r>
        <w:rPr>
          <w:rFonts w:hint="eastAsia" w:ascii="仿宋_GB2312" w:hAnsi="仿宋_GB2312" w:eastAsia="仿宋_GB2312" w:cs="仿宋_GB2312"/>
          <w:kern w:val="2"/>
          <w:sz w:val="32"/>
          <w:szCs w:val="32"/>
        </w:rPr>
        <w:t>街道共受理依申请</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公开政府信息0件。</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（三）政府信息管理情况。根据上级有关文件规定，街道加强信息管理，做好监督审核，在公开基本内容的基础上，重点公开与群众切身利益密切相关的事项，</w:t>
      </w:r>
      <w:r>
        <w:rPr>
          <w:rFonts w:hint="eastAsia" w:ascii="仿宋_GB2312" w:hAnsi="仿宋_GB2312" w:eastAsia="仿宋_GB2312" w:cs="仿宋_GB2312"/>
          <w:sz w:val="32"/>
          <w:szCs w:val="32"/>
          <w:lang w:val="en-US" w:eastAsia="zh-CN"/>
        </w:rPr>
        <w:t>组织各部门落实政府工作做到公开</w:t>
      </w:r>
    </w:p>
    <w:p>
      <w:pPr>
        <w:spacing w:line="5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透明，推进政策报告阳光透明。1、街道为推动人大代表建议和政协委员提案办理力度，对2023年市、区两级人大会议建议和政协会议提案交办内容进行分解并公布，今年我街道承办的17项市、区两级的政协提案已全部办理完成，并对于涉及公共利益、公众权益、社会关切及需要社会广泛知晓的建议和提案办理答复文进行全文公开。2、对东湖街道2023年度机关各部门各社区辖区企事业单位学法安排，进行通知并公开，还有对在全街道公民中开展法治宣传教育的第八个五年规划(2021-2025年)进行了通知并公开。3、</w:t>
      </w:r>
      <w:r>
        <w:rPr>
          <w:rFonts w:hint="eastAsia" w:ascii="仿宋_GB2312" w:hAnsi="仿宋_GB2312" w:eastAsia="仿宋_GB2312" w:cs="仿宋_GB2312"/>
          <w:sz w:val="32"/>
          <w:szCs w:val="32"/>
        </w:rPr>
        <w:t>扎实推进法治政府建设，进一步完善依法行政机制体制，街道</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各项工作法治化水平进一步提升，法治政府建设取得新进展、新成效</w:t>
      </w:r>
      <w:r>
        <w:rPr>
          <w:rFonts w:hint="eastAsia" w:ascii="仿宋_GB2312" w:hAnsi="仿宋_GB2312" w:eastAsia="仿宋_GB2312" w:cs="仿宋_GB2312"/>
          <w:sz w:val="32"/>
          <w:szCs w:val="32"/>
          <w:lang w:eastAsia="zh-CN"/>
        </w:rPr>
        <w:t>进行总结和公布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委巡察工作统一部署，2022年11月9日至</w:t>
      </w:r>
      <w:r>
        <w:rPr>
          <w:rFonts w:hint="eastAsia" w:ascii="仿宋_GB2312" w:hAnsi="仿宋_GB2312" w:eastAsia="仿宋_GB2312" w:cs="仿宋_GB2312"/>
          <w:sz w:val="32"/>
          <w:szCs w:val="32"/>
          <w:lang w:val="en-US" w:eastAsia="zh-CN"/>
        </w:rPr>
        <w:t>2023年1</w:t>
      </w:r>
      <w:r>
        <w:rPr>
          <w:rFonts w:hint="eastAsia" w:ascii="仿宋_GB2312" w:hAnsi="仿宋_GB2312" w:eastAsia="仿宋_GB2312" w:cs="仿宋_GB2312"/>
          <w:sz w:val="32"/>
          <w:szCs w:val="32"/>
        </w:rPr>
        <w:t>月19日，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委巡察</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组对东湖街道党工委</w:t>
      </w:r>
      <w:r>
        <w:rPr>
          <w:rFonts w:hint="eastAsia" w:ascii="仿宋_GB2312" w:hAnsi="仿宋_GB2312" w:eastAsia="仿宋_GB2312" w:cs="仿宋_GB2312"/>
          <w:sz w:val="32"/>
          <w:szCs w:val="32"/>
          <w:lang w:val="en-US" w:eastAsia="zh-CN"/>
        </w:rPr>
        <w:t>及所辖8个社区党组织</w:t>
      </w:r>
      <w:r>
        <w:rPr>
          <w:rFonts w:hint="eastAsia" w:ascii="仿宋_GB2312" w:hAnsi="仿宋_GB2312" w:eastAsia="仿宋_GB2312" w:cs="仿宋_GB2312"/>
          <w:sz w:val="32"/>
          <w:szCs w:val="32"/>
        </w:rPr>
        <w:t>开展了巡察，并于</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日反馈了巡察意见。按照党务公开原则和巡察工作有关要求，将巡察整改进展情况予以公布</w:t>
      </w:r>
      <w:r>
        <w:rPr>
          <w:rFonts w:hint="eastAsia" w:ascii="仿宋_GB2312" w:hAnsi="仿宋_GB2312" w:eastAsia="仿宋_GB2312" w:cs="仿宋_GB2312"/>
          <w:sz w:val="32"/>
          <w:szCs w:val="32"/>
          <w:lang w:eastAsia="zh-CN"/>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（四）政府信息公开平台建设情况。根据街道便民服务中心政务公开专区建设规范要求，建成</w:t>
      </w:r>
      <w:r>
        <w:rPr>
          <w:rFonts w:hint="eastAsia" w:ascii="仿宋_GB2312" w:hAnsi="仿宋_GB2312" w:eastAsia="仿宋_GB2312" w:cs="仿宋_GB2312"/>
          <w:kern w:val="2"/>
          <w:sz w:val="32"/>
          <w:szCs w:val="32"/>
          <w:lang w:eastAsia="zh-CN"/>
        </w:rPr>
        <w:t>东湖</w:t>
      </w:r>
      <w:r>
        <w:rPr>
          <w:rFonts w:hint="eastAsia" w:ascii="仿宋_GB2312" w:hAnsi="仿宋_GB2312" w:eastAsia="仿宋_GB2312" w:cs="仿宋_GB2312"/>
          <w:kern w:val="2"/>
          <w:sz w:val="32"/>
          <w:szCs w:val="32"/>
        </w:rPr>
        <w:t>街道</w:t>
      </w:r>
      <w:r>
        <w:rPr>
          <w:rFonts w:hint="eastAsia" w:ascii="仿宋_GB2312" w:hAnsi="仿宋_GB2312" w:eastAsia="仿宋_GB2312" w:cs="仿宋_GB2312"/>
          <w:kern w:val="2"/>
          <w:sz w:val="32"/>
          <w:szCs w:val="32"/>
          <w:lang w:eastAsia="zh-CN"/>
        </w:rPr>
        <w:t>综合</w:t>
      </w:r>
      <w:r>
        <w:rPr>
          <w:rFonts w:hint="eastAsia" w:ascii="仿宋_GB2312" w:hAnsi="仿宋_GB2312" w:eastAsia="仿宋_GB2312" w:cs="仿宋_GB2312"/>
          <w:kern w:val="2"/>
          <w:sz w:val="32"/>
          <w:szCs w:val="32"/>
        </w:rPr>
        <w:t>便民服务中心政务公开专区。</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专区基本情况。东湖街道综合便民服中心政务公开专区设置在便民服务中心一楼大厅左侧区域，包括线上政务公开便民体验系统和线下实体专区。以及在街道大院门口设置政务公开栏，每季度定时公开街道党务、“三公”经费、民政补助等事项。</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2.功能区基本情况。根据实际情况对专区进行合理规划，划分为自助查询区、资料阅览区、依申请公开接收区、政策咨询区等不同功能区域。</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（1）自助查询区:配备2台触摸查询一体机，保证网络畅通，接入“丰泽区人民政府网站”，提供政务公开、政府信息公开专栏、政务服务等信息查询；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（2）资料查阅区:配备政务公开资料展示架，展示党报党刊、政府公报、办事指南、各类政策宣传册等资料，资料要分类摆放并定期更新，方便群众查阅；</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（3）依申请公开接收区：提供《政府信息公开申请表》样表（也可通过区政府门户网站政府信息公开专栏在线申请），为群众填写信息公开申请表提供指导帮助和咨询服务；</w:t>
      </w:r>
    </w:p>
    <w:p>
      <w:pPr>
        <w:numPr>
          <w:ilvl w:val="0"/>
          <w:numId w:val="0"/>
        </w:numPr>
        <w:ind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（4）政策咨询区：设置政策咨询窗口或政策咨询台，配备至少1名工作人员，提供政策咨询服务。实现政务公开和政务服务资源共享互通。</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保障监督情况。严格按照区政府和街道有关规定落实政务信息公开保障监督，明确政务公开职能部门，落实信息公开主体责任，保证专人专责，提高信息公开的针对性、严谨性和时效性。加强对政府信息公开工作的自我监督检查，对发现的问题及时整改，不断提高政务公开工作质量。</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二、主动公开政府信息情况</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仿宋_GB2312" w:hAnsi="仿宋_GB2312" w:eastAsia="仿宋_GB2312" w:cs="仿宋_GB2312"/>
          <w:bCs/>
          <w:color w:val="000000"/>
          <w:sz w:val="32"/>
          <w:szCs w:val="32"/>
        </w:rPr>
      </w:pP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信息内容</w:t>
            </w:r>
          </w:p>
        </w:tc>
        <w:tc>
          <w:tcPr>
            <w:tcW w:w="7305" w:type="dxa"/>
            <w:gridSpan w:val="3"/>
            <w:tcBorders>
              <w:top w:val="nil"/>
              <w:left w:val="nil"/>
              <w:bottom w:val="single" w:color="auto" w:sz="4"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snapToGrid/>
        <w:spacing w:line="556" w:lineRule="exact"/>
        <w:jc w:val="left"/>
        <w:textAlignment w:val="auto"/>
        <w:rPr>
          <w:rFonts w:hint="eastAsia" w:ascii="仿宋_GB2312" w:hAnsi="仿宋_GB2312" w:eastAsia="仿宋_GB2312" w:cs="仿宋_GB2312"/>
          <w:sz w:val="32"/>
          <w:szCs w:val="32"/>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三、收到和处理政府信息公开申请情况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1"/>
        <w:gridCol w:w="1074"/>
        <w:gridCol w:w="3112"/>
        <w:gridCol w:w="683"/>
        <w:gridCol w:w="683"/>
        <w:gridCol w:w="683"/>
        <w:gridCol w:w="683"/>
        <w:gridCol w:w="683"/>
        <w:gridCol w:w="683"/>
        <w:gridCol w:w="68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67"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（本列数据的勾稽关系为：第一项加第二项之和，等于第三项加第四项之和）</w:t>
            </w:r>
          </w:p>
        </w:tc>
        <w:tc>
          <w:tcPr>
            <w:tcW w:w="4781"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67"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683"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自然人</w:t>
            </w:r>
          </w:p>
        </w:tc>
        <w:tc>
          <w:tcPr>
            <w:tcW w:w="3415"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法人或其他组织</w:t>
            </w:r>
          </w:p>
        </w:tc>
        <w:tc>
          <w:tcPr>
            <w:tcW w:w="683"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67" w:type="dxa"/>
            <w:gridSpan w:val="3"/>
            <w:vMerge w:val="continue"/>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683" w:type="dxa"/>
            <w:vMerge w:val="continue"/>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683"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企业</w:t>
            </w:r>
          </w:p>
        </w:tc>
        <w:tc>
          <w:tcPr>
            <w:tcW w:w="683"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机构</w:t>
            </w:r>
          </w:p>
        </w:tc>
        <w:tc>
          <w:tcPr>
            <w:tcW w:w="683" w:type="dxa"/>
            <w:tcBorders>
              <w:top w:val="single" w:color="auto" w:sz="8" w:space="0"/>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社会公益组织</w:t>
            </w:r>
          </w:p>
        </w:tc>
        <w:tc>
          <w:tcPr>
            <w:tcW w:w="683" w:type="dxa"/>
            <w:tcBorders>
              <w:top w:val="single" w:color="auto" w:sz="8" w:space="0"/>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法律服务机构</w:t>
            </w:r>
          </w:p>
        </w:tc>
        <w:tc>
          <w:tcPr>
            <w:tcW w:w="683" w:type="dxa"/>
            <w:tcBorders>
              <w:top w:val="single" w:color="auto" w:sz="8" w:space="0"/>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其他</w:t>
            </w:r>
          </w:p>
        </w:tc>
        <w:tc>
          <w:tcPr>
            <w:tcW w:w="683" w:type="dxa"/>
            <w:vMerge w:val="continue"/>
            <w:tcBorders>
              <w:top w:val="single" w:color="auto" w:sz="8" w:space="0"/>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4967"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一、本年新收政府信息公开申请数量</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both"/>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67"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二、上年结转政府信息公开申请数量</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三、本年度办理结果</w:t>
            </w:r>
          </w:p>
        </w:tc>
        <w:tc>
          <w:tcPr>
            <w:tcW w:w="4186"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（一）予以公开</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4186"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（二）部分公开（区分处理的，只计这一情形，不计其他情形）</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（三）不予公开</w:t>
            </w: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1.属于国家秘密</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2.其他法律行政法规禁止公开</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3.危及“三安全一稳定”</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4.保护第三方合法权益</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5.属于三类内部事务信息</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6.属于四类过程性信息</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7.属于行政执法案卷</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8.属于行政查询事项</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（四）无法提供</w:t>
            </w: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1.本机关不掌握相关政府信息</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2.没有现成信息需要另行制作</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3.补正后申请内容仍不明确</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（五）不予处理</w:t>
            </w: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1.信访举报投诉类申请</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2.重复申请</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3.要求提供公开出版物</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4.无正当理由大量反复申请</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5.要求行政机关确认或重新出具已获取信息</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（六）其他处理</w:t>
            </w: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1.申请人无正当理由逾期不补正、行政机关不再处理其政府信息公开申请</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2.申请人逾期未按收费通知要求缴纳费用、行政机关不再处理其政府信息公开申请</w:t>
            </w:r>
          </w:p>
        </w:tc>
        <w:tc>
          <w:tcPr>
            <w:tcW w:w="683"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single" w:color="auto" w:sz="4"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3.其他</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4186"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（七）总计</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6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四、结转下年度继续办理</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both"/>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leftChars="0" w:right="0" w:rightChars="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83"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四、政府信息公开行政复议、行政诉讼情况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snapToGrid/>
        <w:spacing w:line="556" w:lineRule="exact"/>
        <w:jc w:val="left"/>
        <w:textAlignment w:val="auto"/>
        <w:rPr>
          <w:rFonts w:hint="eastAsia" w:ascii="仿宋_GB2312" w:hAnsi="仿宋_GB2312" w:eastAsia="仿宋_GB2312" w:cs="仿宋_GB2312"/>
          <w:sz w:val="32"/>
          <w:szCs w:val="32"/>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五、存在的主要问题及改进情况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56" w:lineRule="exact"/>
        <w:ind w:left="0" w:right="0" w:firstLine="643"/>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454545"/>
          <w:sz w:val="32"/>
          <w:szCs w:val="32"/>
        </w:rPr>
        <w:t>2</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年度我街道政府信息公开工作取得了一定成绩，但仍存在着一些问题和困难，主要是：</w:t>
      </w:r>
      <w:r>
        <w:rPr>
          <w:rFonts w:hint="eastAsia" w:ascii="仿宋_GB2312" w:hAnsi="仿宋_GB2312" w:eastAsia="仿宋_GB2312" w:cs="仿宋_GB2312"/>
          <w:color w:val="000000"/>
          <w:sz w:val="32"/>
          <w:szCs w:val="32"/>
          <w:lang w:val="en-US" w:eastAsia="zh-CN"/>
        </w:rPr>
        <w:t>信息公开的协调机制有待进一步完善，</w:t>
      </w:r>
      <w:r>
        <w:rPr>
          <w:rFonts w:hint="eastAsia" w:ascii="仿宋_GB2312" w:hAnsi="仿宋_GB2312" w:eastAsia="仿宋_GB2312" w:cs="仿宋_GB2312"/>
          <w:color w:val="000000"/>
          <w:sz w:val="32"/>
          <w:szCs w:val="32"/>
        </w:rPr>
        <w:t>街道各部门依法公开、主动公开意识有待进一步加强；</w:t>
      </w:r>
      <w:r>
        <w:rPr>
          <w:rFonts w:hint="eastAsia" w:ascii="仿宋_GB2312" w:hAnsi="仿宋_GB2312" w:eastAsia="仿宋_GB2312" w:cs="仿宋_GB2312"/>
          <w:color w:val="000000"/>
          <w:sz w:val="32"/>
          <w:szCs w:val="32"/>
          <w:lang w:val="en-US" w:eastAsia="zh-CN"/>
        </w:rPr>
        <w:t>信息更新还不够及时；需进一步加强宣传与引导社会公众对依申请</w:t>
      </w:r>
      <w:r>
        <w:rPr>
          <w:rFonts w:hint="eastAsia" w:ascii="仿宋_GB2312" w:hAnsi="仿宋_GB2312" w:eastAsia="仿宋_GB2312" w:cs="仿宋_GB2312"/>
          <w:color w:val="333333"/>
          <w:kern w:val="0"/>
          <w:sz w:val="32"/>
          <w:szCs w:val="32"/>
          <w:shd w:val="clear" w:fill="FFFFFF"/>
          <w:lang w:val="en-US" w:eastAsia="zh-CN" w:bidi="ar"/>
        </w:rPr>
        <w:t>信息公开的认识，宣传的</w:t>
      </w:r>
      <w:r>
        <w:rPr>
          <w:rFonts w:hint="eastAsia" w:ascii="仿宋_GB2312" w:hAnsi="仿宋_GB2312" w:eastAsia="仿宋_GB2312" w:cs="仿宋_GB2312"/>
          <w:color w:val="282E2E"/>
          <w:kern w:val="0"/>
          <w:sz w:val="32"/>
          <w:szCs w:val="32"/>
          <w:shd w:val="clear" w:fill="FFFFFF"/>
          <w:lang w:val="en-US" w:eastAsia="zh-CN" w:bidi="ar"/>
        </w:rPr>
        <w:t>形式、范围、力度等方面都有待进一步加强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改进措施如下：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56" w:lineRule="exact"/>
        <w:ind w:left="0" w:right="0" w:firstLine="643"/>
        <w:jc w:val="left"/>
        <w:textAlignment w:val="auto"/>
        <w:rPr>
          <w:rFonts w:hint="eastAsia" w:ascii="仿宋_GB2312" w:hAnsi="仿宋_GB2312" w:eastAsia="仿宋_GB2312" w:cs="仿宋_GB2312"/>
          <w:color w:val="282E2E"/>
          <w:kern w:val="0"/>
          <w:sz w:val="32"/>
          <w:szCs w:val="32"/>
          <w:shd w:val="clear" w:fill="FFFFFF"/>
          <w:lang w:val="en-US" w:eastAsia="zh-CN" w:bidi="ar"/>
        </w:rPr>
      </w:pPr>
      <w:r>
        <w:rPr>
          <w:rFonts w:hint="eastAsia" w:ascii="仿宋_GB2312" w:hAnsi="仿宋_GB2312" w:eastAsia="仿宋_GB2312" w:cs="仿宋_GB2312"/>
          <w:color w:val="282E2E"/>
          <w:kern w:val="0"/>
          <w:sz w:val="32"/>
          <w:szCs w:val="32"/>
          <w:shd w:val="clear" w:fill="FFFFFF"/>
          <w:lang w:val="en-US" w:eastAsia="zh-CN" w:bidi="ar"/>
        </w:rPr>
        <w:t>1.统一认识，努力规范工作流程。街道将进一步梳理政府信息，及时提供，定期维护，确保政府信息公开工作能按照既定的工作流程有效运作，公众能够方便查询。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56" w:lineRule="exact"/>
        <w:ind w:left="0" w:right="0" w:firstLine="643"/>
        <w:jc w:val="left"/>
        <w:textAlignment w:val="auto"/>
        <w:rPr>
          <w:rFonts w:hint="eastAsia" w:ascii="仿宋_GB2312" w:hAnsi="仿宋_GB2312" w:eastAsia="仿宋_GB2312" w:cs="仿宋_GB2312"/>
          <w:color w:val="282E2E"/>
          <w:kern w:val="0"/>
          <w:sz w:val="32"/>
          <w:szCs w:val="32"/>
          <w:shd w:val="clear" w:fill="FFFFFF"/>
          <w:lang w:val="en-US" w:eastAsia="zh-CN" w:bidi="ar"/>
        </w:rPr>
      </w:pPr>
      <w:r>
        <w:rPr>
          <w:rFonts w:hint="eastAsia" w:ascii="仿宋_GB2312" w:hAnsi="仿宋_GB2312" w:eastAsia="仿宋_GB2312" w:cs="仿宋_GB2312"/>
          <w:color w:val="282E2E"/>
          <w:kern w:val="0"/>
          <w:sz w:val="32"/>
          <w:szCs w:val="32"/>
          <w:shd w:val="clear" w:fill="FFFFFF"/>
          <w:lang w:val="en-US" w:eastAsia="zh-CN" w:bidi="ar"/>
        </w:rPr>
        <w:t>2.认真梳理，逐步扩大公开内容。街道将进一步梳理政府信息，</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56" w:lineRule="exact"/>
        <w:ind w:right="0"/>
        <w:jc w:val="left"/>
        <w:textAlignment w:val="auto"/>
        <w:rPr>
          <w:rFonts w:hint="eastAsia" w:ascii="仿宋_GB2312" w:hAnsi="仿宋_GB2312" w:eastAsia="仿宋_GB2312" w:cs="仿宋_GB2312"/>
          <w:color w:val="282E2E"/>
          <w:kern w:val="0"/>
          <w:sz w:val="32"/>
          <w:szCs w:val="32"/>
          <w:shd w:val="clear" w:fill="FFFFFF"/>
          <w:lang w:val="en-US" w:eastAsia="zh-CN" w:bidi="ar"/>
        </w:rPr>
      </w:pPr>
      <w:r>
        <w:rPr>
          <w:rFonts w:hint="eastAsia" w:ascii="仿宋_GB2312" w:hAnsi="仿宋_GB2312" w:eastAsia="仿宋_GB2312" w:cs="仿宋_GB2312"/>
          <w:color w:val="282E2E"/>
          <w:kern w:val="0"/>
          <w:sz w:val="32"/>
          <w:szCs w:val="32"/>
          <w:shd w:val="clear" w:fill="FFFFFF"/>
          <w:lang w:val="en-US" w:eastAsia="zh-CN" w:bidi="ar"/>
        </w:rPr>
        <w:t>对原有的政府信息公开目录进行补充完善，保证公开信息的完整性和准确性。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56" w:lineRule="exact"/>
        <w:ind w:left="0" w:right="0" w:firstLine="643"/>
        <w:jc w:val="left"/>
        <w:textAlignment w:val="auto"/>
        <w:rPr>
          <w:rFonts w:hint="eastAsia" w:ascii="仿宋_GB2312" w:hAnsi="仿宋_GB2312" w:eastAsia="仿宋_GB2312" w:cs="仿宋_GB2312"/>
          <w:color w:val="282E2E"/>
          <w:kern w:val="0"/>
          <w:sz w:val="32"/>
          <w:szCs w:val="32"/>
          <w:shd w:val="clear" w:fill="FFFFFF"/>
          <w:lang w:val="en-US" w:eastAsia="zh-CN" w:bidi="ar"/>
        </w:rPr>
      </w:pPr>
      <w:r>
        <w:rPr>
          <w:rFonts w:hint="eastAsia" w:ascii="仿宋_GB2312" w:hAnsi="仿宋_GB2312" w:eastAsia="仿宋_GB2312" w:cs="仿宋_GB2312"/>
          <w:color w:val="282E2E"/>
          <w:kern w:val="0"/>
          <w:sz w:val="32"/>
          <w:szCs w:val="32"/>
          <w:shd w:val="clear" w:fill="FFFFFF"/>
          <w:lang w:val="en-US" w:eastAsia="zh-CN" w:bidi="ar"/>
        </w:rPr>
        <w:t>3.加强信息工作队伍建设，积极织参加业务培训，提高工作水平。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黑体" w:hAnsi="黑体" w:eastAsia="黑体" w:cs="黑体"/>
          <w:color w:val="000000"/>
          <w:kern w:val="0"/>
          <w:sz w:val="32"/>
          <w:szCs w:val="32"/>
          <w:shd w:val="clear" w:fill="FFFFFF"/>
          <w:lang w:val="en-US" w:eastAsia="zh-CN" w:bidi="ar"/>
        </w:rPr>
      </w:pPr>
      <w:r>
        <w:rPr>
          <w:rFonts w:hint="eastAsia" w:ascii="黑体" w:hAnsi="黑体" w:eastAsia="黑体" w:cs="黑体"/>
          <w:color w:val="000000"/>
          <w:kern w:val="0"/>
          <w:sz w:val="32"/>
          <w:szCs w:val="32"/>
          <w:shd w:val="clear" w:fill="FFFFFF"/>
          <w:lang w:val="en-US" w:eastAsia="zh-CN" w:bidi="ar"/>
        </w:rPr>
        <w:t>六、其他需要报告的事项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fill="FFFFFF"/>
          <w:lang w:val="en-US" w:eastAsia="zh-CN" w:bidi="ar"/>
        </w:rPr>
        <w:t>主动公开信息数来源于信息公开后台系统，政府信息公开专栏页面访问量数据来源于丰泽区信息公开专栏。</w:t>
      </w:r>
    </w:p>
    <w:p>
      <w:pPr>
        <w:keepNext w:val="0"/>
        <w:keepLines w:val="0"/>
        <w:pageBreakBefore w:val="0"/>
        <w:widowControl/>
        <w:kinsoku/>
        <w:wordWrap/>
        <w:overflowPunct/>
        <w:topLinePunct w:val="0"/>
        <w:autoSpaceDE/>
        <w:autoSpaceDN/>
        <w:bidi w:val="0"/>
        <w:adjustRightInd/>
        <w:snapToGrid/>
        <w:spacing w:line="556" w:lineRule="exact"/>
        <w:ind w:firstLine="960" w:firstLineChars="300"/>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56" w:lineRule="exact"/>
        <w:ind w:firstLine="3840" w:firstLineChars="1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丰泽区人民政府东湖街道办事处</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                                  2024年元月3日</w:t>
      </w:r>
    </w:p>
    <w:p/>
    <w:sectPr>
      <w:footerReference r:id="rId3" w:type="default"/>
      <w:pgSz w:w="11906" w:h="16838"/>
      <w:pgMar w:top="1440" w:right="1066"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ZDk2MjM1OWQ1MTU0Y2EyZDJkZGJiZWQ3MzYxZjMifQ=="/>
  </w:docVars>
  <w:rsids>
    <w:rsidRoot w:val="4BAF58C9"/>
    <w:rsid w:val="35DE78B4"/>
    <w:rsid w:val="4BAF5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2024-01-03T03:21:00Z</dcterms:created>
  <dc:creator>楚铮</dc:creator>
  <cp:lastModifiedBy>楚铮</cp:lastModifiedBy>
  <cp:lastPrinted>2024-01-04T02:48:16Z</cp:lastPrinted>
  <dcterms:modified xsi:type="dcterms:W3CDTF">2024-01-04T02:48:31Z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72530FFFD37A4DB1973A291F3E2CD75F_11</vt:lpwstr>
  </property>
</Properties>
</file>