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1152">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b w:val="0"/>
          <w:bCs w:val="0"/>
          <w:sz w:val="44"/>
          <w:szCs w:val="44"/>
        </w:rPr>
      </w:pPr>
      <w:bookmarkStart w:id="0" w:name="_GoBack"/>
    </w:p>
    <w:p w14:paraId="2BC4D2E5">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b/>
          <w:bCs/>
          <w:sz w:val="44"/>
          <w:szCs w:val="44"/>
        </w:rPr>
      </w:pPr>
    </w:p>
    <w:p w14:paraId="3CE92E8C">
      <w:pPr>
        <w:keepNext w:val="0"/>
        <w:keepLines w:val="0"/>
        <w:pageBreakBefore w:val="0"/>
        <w:tabs>
          <w:tab w:val="left" w:pos="375"/>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14:paraId="4298DFD1">
      <w:pPr>
        <w:keepNext w:val="0"/>
        <w:keepLines w:val="0"/>
        <w:pageBreakBefore w:val="0"/>
        <w:tabs>
          <w:tab w:val="left" w:pos="375"/>
        </w:tabs>
        <w:kinsoku/>
        <w:wordWrap/>
        <w:overflowPunct/>
        <w:topLinePunct w:val="0"/>
        <w:autoSpaceDE/>
        <w:autoSpaceDN/>
        <w:bidi w:val="0"/>
        <w:adjustRightInd/>
        <w:snapToGrid/>
        <w:spacing w:line="579" w:lineRule="exact"/>
        <w:jc w:val="left"/>
        <w:textAlignment w:val="auto"/>
        <w:rPr>
          <w:rFonts w:hint="default" w:ascii="Times New Roman" w:hAnsi="Times New Roman" w:eastAsia="仿宋_GB2312" w:cs="Times New Roman"/>
          <w:sz w:val="32"/>
          <w:szCs w:val="32"/>
        </w:rPr>
      </w:pPr>
    </w:p>
    <w:p w14:paraId="724FC470">
      <w:pPr>
        <w:keepNext w:val="0"/>
        <w:keepLines w:val="0"/>
        <w:pageBreakBefore w:val="0"/>
        <w:tabs>
          <w:tab w:val="left" w:pos="375"/>
        </w:tabs>
        <w:kinsoku/>
        <w:wordWrap/>
        <w:overflowPunct/>
        <w:topLinePunct w:val="0"/>
        <w:autoSpaceDE/>
        <w:autoSpaceDN/>
        <w:bidi w:val="0"/>
        <w:adjustRightInd/>
        <w:snapToGrid/>
        <w:spacing w:line="579" w:lineRule="exact"/>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rPr>
        <w:t>泉丰泉办〔202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签发人：</w:t>
      </w:r>
      <w:r>
        <w:rPr>
          <w:rFonts w:hint="default" w:ascii="Times New Roman" w:hAnsi="Times New Roman" w:eastAsia="楷体_GB2312" w:cs="Times New Roman"/>
          <w:sz w:val="32"/>
          <w:szCs w:val="32"/>
          <w:lang w:val="en-US" w:eastAsia="zh-CN"/>
        </w:rPr>
        <w:t>薛 超</w:t>
      </w:r>
    </w:p>
    <w:p w14:paraId="73A898E9">
      <w:pPr>
        <w:keepNext w:val="0"/>
        <w:keepLines w:val="0"/>
        <w:pageBreakBefore w:val="0"/>
        <w:kinsoku/>
        <w:wordWrap/>
        <w:overflowPunct/>
        <w:topLinePunct w:val="0"/>
        <w:autoSpaceDE/>
        <w:autoSpaceDN/>
        <w:bidi w:val="0"/>
        <w:adjustRightInd/>
        <w:snapToGrid/>
        <w:spacing w:line="579" w:lineRule="exact"/>
        <w:ind w:firstLine="160" w:firstLineChars="50"/>
        <w:textAlignment w:val="auto"/>
        <w:rPr>
          <w:rFonts w:hint="default" w:ascii="Times New Roman" w:hAnsi="Times New Roman" w:eastAsia="仿宋_GB2312" w:cs="Times New Roman"/>
          <w:sz w:val="32"/>
          <w:szCs w:val="32"/>
        </w:rPr>
      </w:pPr>
    </w:p>
    <w:p w14:paraId="46C87AE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b w:val="0"/>
          <w:bCs w:val="0"/>
          <w:sz w:val="44"/>
          <w:szCs w:val="44"/>
          <w:highlight w:val="none"/>
          <w:shd w:val="clear" w:color="auto" w:fill="FFFFFF"/>
          <w:lang w:val="en-US" w:eastAsia="zh-CN"/>
        </w:rPr>
      </w:pPr>
      <w:r>
        <w:rPr>
          <w:rFonts w:hint="default" w:ascii="Times New Roman" w:hAnsi="Times New Roman" w:eastAsia="方正小标宋简体" w:cs="Times New Roman"/>
          <w:b w:val="0"/>
          <w:bCs w:val="0"/>
          <w:sz w:val="44"/>
          <w:szCs w:val="44"/>
          <w:highlight w:val="none"/>
          <w:shd w:val="clear" w:color="auto" w:fill="FFFFFF"/>
          <w:lang w:val="en-US" w:eastAsia="zh-CN"/>
        </w:rPr>
        <w:t>泉州市丰泽区人民政府泉秀街道办事处</w:t>
      </w:r>
    </w:p>
    <w:p w14:paraId="5A60514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b w:val="0"/>
          <w:bCs w:val="0"/>
          <w:sz w:val="44"/>
          <w:szCs w:val="44"/>
          <w:highlight w:val="none"/>
          <w:shd w:val="clear" w:color="auto" w:fill="FFFFFF"/>
          <w:lang w:val="en-US" w:eastAsia="zh-CN"/>
        </w:rPr>
      </w:pPr>
      <w:r>
        <w:rPr>
          <w:rFonts w:hint="default" w:ascii="Times New Roman" w:hAnsi="Times New Roman" w:eastAsia="方正小标宋简体" w:cs="Times New Roman"/>
          <w:b w:val="0"/>
          <w:bCs w:val="0"/>
          <w:sz w:val="44"/>
          <w:szCs w:val="44"/>
          <w:highlight w:val="none"/>
          <w:shd w:val="clear" w:color="auto" w:fill="FFFFFF"/>
          <w:lang w:val="en-US" w:eastAsia="zh-CN"/>
        </w:rPr>
        <w:t>关于2025年法治政府建设情况及2026年</w:t>
      </w:r>
    </w:p>
    <w:p w14:paraId="0B386D6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b w:val="0"/>
          <w:bCs w:val="0"/>
          <w:sz w:val="44"/>
          <w:szCs w:val="44"/>
          <w:highlight w:val="none"/>
          <w:shd w:val="clear" w:color="auto" w:fill="FFFFFF"/>
          <w:lang w:val="en-US" w:eastAsia="zh-CN"/>
        </w:rPr>
      </w:pPr>
      <w:r>
        <w:rPr>
          <w:rFonts w:hint="default" w:ascii="Times New Roman" w:hAnsi="Times New Roman" w:eastAsia="方正小标宋简体" w:cs="Times New Roman"/>
          <w:b w:val="0"/>
          <w:bCs w:val="0"/>
          <w:sz w:val="44"/>
          <w:szCs w:val="44"/>
          <w:highlight w:val="none"/>
          <w:shd w:val="clear" w:color="auto" w:fill="FFFFFF"/>
          <w:lang w:val="en-US" w:eastAsia="zh-CN"/>
        </w:rPr>
        <w:t>推进法治政府建设工作要点的报告</w:t>
      </w:r>
    </w:p>
    <w:p w14:paraId="0ADE214D">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cs="Times New Roman"/>
        </w:rPr>
      </w:pPr>
    </w:p>
    <w:p w14:paraId="622FE237">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区政府：</w:t>
      </w:r>
    </w:p>
    <w:p w14:paraId="3B5023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2025年，泉秀街道在区委、区政府的正确领导下，坚持以习近平新时代中国特色社会主义思想为指导，深入学习贯彻党的二十大和二十届三中</w:t>
      </w:r>
      <w:r>
        <w:rPr>
          <w:rFonts w:hint="default" w:ascii="Times New Roman" w:hAnsi="Times New Roman" w:eastAsia="仿宋_GB2312" w:cs="Times New Roman"/>
          <w:b w:val="0"/>
          <w:bCs w:val="0"/>
          <w:kern w:val="0"/>
          <w:sz w:val="32"/>
          <w:szCs w:val="32"/>
          <w:highlight w:val="none"/>
          <w:lang w:eastAsia="zh-CN"/>
        </w:rPr>
        <w:t>全会</w:t>
      </w:r>
      <w:r>
        <w:rPr>
          <w:rFonts w:hint="default" w:ascii="Times New Roman" w:hAnsi="Times New Roman" w:eastAsia="仿宋_GB2312" w:cs="Times New Roman"/>
          <w:b w:val="0"/>
          <w:bCs w:val="0"/>
          <w:kern w:val="0"/>
          <w:sz w:val="32"/>
          <w:szCs w:val="32"/>
          <w:highlight w:val="none"/>
        </w:rPr>
        <w:t>、四中全会精神，全面践行习近平法治思想，严格落实《法治政府建设实施纲要（2021－2025年）》及《泉州市丰泽区法治政府建设实施方案（2021-2025年）》要求。现将泉秀街道2025年法治政府建设情况及2026年工作要点报告如下：</w:t>
      </w:r>
    </w:p>
    <w:p w14:paraId="481B87D7">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黑体" w:cs="Times New Roman"/>
          <w:b w:val="0"/>
          <w:bCs w:val="0"/>
          <w:sz w:val="32"/>
          <w:szCs w:val="32"/>
          <w:highlight w:val="none"/>
          <w:shd w:val="clear" w:color="auto" w:fill="FFFFFF"/>
        </w:rPr>
      </w:pPr>
      <w:r>
        <w:rPr>
          <w:rFonts w:hint="default" w:ascii="Times New Roman" w:hAnsi="Times New Roman" w:eastAsia="黑体" w:cs="Times New Roman"/>
          <w:b w:val="0"/>
          <w:bCs w:val="0"/>
          <w:sz w:val="32"/>
          <w:szCs w:val="32"/>
          <w:highlight w:val="none"/>
          <w:shd w:val="clear" w:color="auto" w:fill="FFFFFF"/>
        </w:rPr>
        <w:t>一、2025年法治政府建设的主要举措和成效</w:t>
      </w:r>
    </w:p>
    <w:p w14:paraId="612B130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楷体_GB2312" w:cs="Times New Roman"/>
          <w:b/>
          <w:bCs/>
          <w:kern w:val="0"/>
          <w:sz w:val="32"/>
          <w:szCs w:val="32"/>
          <w:highlight w:val="none"/>
        </w:rPr>
        <w:t>（一）加强组织领导，健全工作机制。</w:t>
      </w:r>
      <w:r>
        <w:rPr>
          <w:rFonts w:hint="default" w:ascii="Times New Roman" w:hAnsi="Times New Roman" w:eastAsia="仿宋_GB2312" w:cs="Times New Roman"/>
          <w:b/>
          <w:bCs/>
          <w:kern w:val="0"/>
          <w:sz w:val="32"/>
          <w:szCs w:val="32"/>
          <w:highlight w:val="none"/>
          <w:lang w:eastAsia="zh-CN"/>
        </w:rPr>
        <w:t>一是</w:t>
      </w:r>
      <w:r>
        <w:rPr>
          <w:rFonts w:hint="default" w:ascii="Times New Roman" w:hAnsi="Times New Roman" w:eastAsia="仿宋_GB2312" w:cs="Times New Roman"/>
          <w:b/>
          <w:bCs/>
          <w:kern w:val="0"/>
          <w:sz w:val="32"/>
          <w:szCs w:val="32"/>
          <w:highlight w:val="none"/>
        </w:rPr>
        <w:t>认真履行推进法治政府第一责任人职责。</w:t>
      </w:r>
      <w:r>
        <w:rPr>
          <w:rFonts w:hint="default" w:ascii="Times New Roman" w:hAnsi="Times New Roman" w:eastAsia="仿宋_GB2312" w:cs="Times New Roman"/>
          <w:b w:val="0"/>
          <w:bCs w:val="0"/>
          <w:kern w:val="0"/>
          <w:sz w:val="32"/>
          <w:szCs w:val="32"/>
          <w:highlight w:val="none"/>
        </w:rPr>
        <w:t>街道党工委、办事处始终把依法决策、依法行政、依法治理作为一项重要任务来抓，履行党政主要负责人推进法治建设第一责任人职责，落实党政主要领导“述法”要求，运用法治思维和法治方式推进法治建设。</w:t>
      </w:r>
      <w:r>
        <w:rPr>
          <w:rFonts w:hint="default" w:ascii="Times New Roman" w:hAnsi="Times New Roman" w:eastAsia="仿宋_GB2312" w:cs="Times New Roman"/>
          <w:b/>
          <w:bCs/>
          <w:kern w:val="0"/>
          <w:sz w:val="32"/>
          <w:szCs w:val="32"/>
          <w:highlight w:val="none"/>
          <w:lang w:eastAsia="zh-CN"/>
        </w:rPr>
        <w:t>二是</w:t>
      </w:r>
      <w:r>
        <w:rPr>
          <w:rFonts w:hint="default" w:ascii="Times New Roman" w:hAnsi="Times New Roman" w:eastAsia="仿宋_GB2312" w:cs="Times New Roman"/>
          <w:b/>
          <w:bCs/>
          <w:kern w:val="0"/>
          <w:sz w:val="32"/>
          <w:szCs w:val="32"/>
          <w:highlight w:val="none"/>
        </w:rPr>
        <w:t>不断完善法治政府建设推进落实机制。</w:t>
      </w:r>
      <w:r>
        <w:rPr>
          <w:rFonts w:hint="default" w:ascii="Times New Roman" w:hAnsi="Times New Roman" w:eastAsia="仿宋_GB2312" w:cs="Times New Roman"/>
          <w:b w:val="0"/>
          <w:bCs w:val="0"/>
          <w:kern w:val="0"/>
          <w:sz w:val="32"/>
          <w:szCs w:val="32"/>
          <w:highlight w:val="none"/>
        </w:rPr>
        <w:t>根据人事变动及时调整街道法治政府建设工作领导小组，明确法治政府建设的指导、协调、监督、考核。年初明确法治政府建设的工作重点和工作任务，层层落实责任，定期在街道工作例会、党政扩大会议上研究调度街道法治政府建设工作；强化部门联动，各部门加强沟通配合，坚持上下联动和属地管理相结合，形成分工负责、共同参与的法治建设工作机制，推动全面依法治街工作职能优化协同高效。</w:t>
      </w:r>
      <w:r>
        <w:rPr>
          <w:rFonts w:hint="default" w:ascii="Times New Roman" w:hAnsi="Times New Roman" w:eastAsia="仿宋_GB2312" w:cs="Times New Roman"/>
          <w:b/>
          <w:bCs/>
          <w:kern w:val="0"/>
          <w:sz w:val="32"/>
          <w:szCs w:val="32"/>
          <w:highlight w:val="none"/>
          <w:lang w:eastAsia="zh-CN"/>
        </w:rPr>
        <w:t>三是</w:t>
      </w:r>
      <w:r>
        <w:rPr>
          <w:rFonts w:hint="default" w:ascii="Times New Roman" w:hAnsi="Times New Roman" w:eastAsia="仿宋_GB2312" w:cs="Times New Roman"/>
          <w:b/>
          <w:bCs/>
          <w:kern w:val="0"/>
          <w:sz w:val="32"/>
          <w:szCs w:val="32"/>
          <w:highlight w:val="none"/>
        </w:rPr>
        <w:t>完善合法性审查机制，发挥街道法律顾问法律服务作用。</w:t>
      </w:r>
      <w:r>
        <w:rPr>
          <w:rFonts w:hint="default" w:ascii="Times New Roman" w:hAnsi="Times New Roman" w:eastAsia="仿宋_GB2312" w:cs="Times New Roman"/>
          <w:b w:val="0"/>
          <w:bCs w:val="0"/>
          <w:kern w:val="0"/>
          <w:sz w:val="32"/>
          <w:szCs w:val="32"/>
          <w:highlight w:val="none"/>
        </w:rPr>
        <w:t>完善街道合法性审查机制，邀请街道法律顾问参与街道重大事项决策、应诉案件等法律事务，今年来街道法律顾问共参与街道文稿、合同合法性审查、法治培训讲座12场次。</w:t>
      </w:r>
    </w:p>
    <w:p w14:paraId="1FD6792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楷体_GB2312" w:cs="Times New Roman"/>
          <w:b/>
          <w:bCs/>
          <w:kern w:val="0"/>
          <w:sz w:val="32"/>
          <w:szCs w:val="32"/>
          <w:highlight w:val="none"/>
        </w:rPr>
        <w:t>（二）健全依法行政体系，提升执法能力</w:t>
      </w:r>
      <w:r>
        <w:rPr>
          <w:rFonts w:hint="default" w:ascii="Times New Roman" w:hAnsi="Times New Roman" w:eastAsia="楷体_GB2312" w:cs="Times New Roman"/>
          <w:b/>
          <w:bCs/>
          <w:kern w:val="0"/>
          <w:sz w:val="32"/>
          <w:szCs w:val="32"/>
          <w:highlight w:val="none"/>
          <w:lang w:eastAsia="zh-CN"/>
        </w:rPr>
        <w:t>。</w:t>
      </w:r>
      <w:r>
        <w:rPr>
          <w:rFonts w:hint="default" w:ascii="Times New Roman" w:hAnsi="Times New Roman" w:eastAsia="仿宋_GB2312" w:cs="Times New Roman"/>
          <w:b/>
          <w:bCs/>
          <w:kern w:val="0"/>
          <w:sz w:val="32"/>
          <w:szCs w:val="32"/>
          <w:highlight w:val="none"/>
        </w:rPr>
        <w:t>一是加强行政执法队伍建设。</w:t>
      </w:r>
      <w:r>
        <w:rPr>
          <w:rFonts w:hint="default" w:ascii="Times New Roman" w:hAnsi="Times New Roman" w:eastAsia="仿宋_GB2312" w:cs="Times New Roman"/>
          <w:b w:val="0"/>
          <w:bCs w:val="0"/>
          <w:kern w:val="0"/>
          <w:sz w:val="32"/>
          <w:szCs w:val="32"/>
          <w:highlight w:val="none"/>
        </w:rPr>
        <w:t>严格实行行政执法人员持证上岗和资格管理制度，确保执法人员具备相应的执法资格和能力。 </w:t>
      </w:r>
      <w:r>
        <w:rPr>
          <w:rFonts w:hint="default" w:ascii="Times New Roman" w:hAnsi="Times New Roman" w:eastAsia="仿宋_GB2312" w:cs="Times New Roman"/>
          <w:b/>
          <w:bCs/>
          <w:kern w:val="0"/>
          <w:sz w:val="32"/>
          <w:szCs w:val="32"/>
          <w:highlight w:val="none"/>
        </w:rPr>
        <w:t>二是规范行政执法程序。</w:t>
      </w:r>
      <w:r>
        <w:rPr>
          <w:rFonts w:hint="default" w:ascii="Times New Roman" w:hAnsi="Times New Roman" w:eastAsia="仿宋_GB2312" w:cs="Times New Roman"/>
          <w:b w:val="0"/>
          <w:bCs w:val="0"/>
          <w:kern w:val="0"/>
          <w:sz w:val="32"/>
          <w:szCs w:val="32"/>
          <w:highlight w:val="none"/>
        </w:rPr>
        <w:t>严格执行行政执法公示制度、执法全过程记录制度、重大执法决定法制审核制度，做到公正、规范、文明执法。</w:t>
      </w:r>
      <w:r>
        <w:rPr>
          <w:rFonts w:hint="default" w:ascii="Times New Roman" w:hAnsi="Times New Roman" w:eastAsia="仿宋_GB2312" w:cs="Times New Roman"/>
          <w:b/>
          <w:bCs/>
          <w:kern w:val="0"/>
          <w:sz w:val="32"/>
          <w:szCs w:val="32"/>
          <w:highlight w:val="none"/>
        </w:rPr>
        <w:t>三是提升行政执法质量。</w:t>
      </w:r>
      <w:r>
        <w:rPr>
          <w:rFonts w:hint="default" w:ascii="Times New Roman" w:hAnsi="Times New Roman" w:eastAsia="仿宋_GB2312" w:cs="Times New Roman"/>
          <w:b w:val="0"/>
          <w:bCs w:val="0"/>
          <w:kern w:val="0"/>
          <w:sz w:val="32"/>
          <w:szCs w:val="32"/>
          <w:highlight w:val="none"/>
        </w:rPr>
        <w:t>提升服务水平。全面启动物业管理“四升一降”专项行动，推广设立“邻里驿站”“邻里会客厅”等阵地。通过一系列有力举措与扎实工作，打造和谐宜居的小区环境，营造齐抓共管的良好氛围。</w:t>
      </w:r>
      <w:r>
        <w:rPr>
          <w:rFonts w:hint="default" w:ascii="Times New Roman" w:hAnsi="Times New Roman" w:eastAsia="仿宋_GB2312" w:cs="Times New Roman"/>
          <w:b/>
          <w:bCs/>
          <w:kern w:val="0"/>
          <w:sz w:val="32"/>
          <w:szCs w:val="32"/>
          <w:highlight w:val="none"/>
        </w:rPr>
        <w:t>四是提升社会综合治理能力。</w:t>
      </w:r>
      <w:r>
        <w:rPr>
          <w:rFonts w:hint="default" w:ascii="Times New Roman" w:hAnsi="Times New Roman" w:eastAsia="仿宋_GB2312" w:cs="Times New Roman"/>
          <w:b w:val="0"/>
          <w:bCs w:val="0"/>
          <w:kern w:val="0"/>
          <w:sz w:val="32"/>
          <w:szCs w:val="32"/>
          <w:highlight w:val="none"/>
        </w:rPr>
        <w:t>持续开展法律服务共建，邀请驻社区律师参与调解。在调处化解矛盾过程中，结合一社区一法律顾问的有利资源，加快推进多元化公共法律服务力量建设，打造多元化公共法律服务供给体系，最大化地履行好法律援助等公共服务职能。</w:t>
      </w:r>
    </w:p>
    <w:p w14:paraId="342C1CB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楷体_GB2312" w:cs="Times New Roman"/>
          <w:b/>
          <w:bCs/>
          <w:kern w:val="0"/>
          <w:sz w:val="32"/>
          <w:szCs w:val="32"/>
          <w:highlight w:val="none"/>
        </w:rPr>
        <w:t>（三）营造依法行政浓厚法治氛围。</w:t>
      </w:r>
      <w:r>
        <w:rPr>
          <w:rFonts w:hint="default" w:ascii="Times New Roman" w:hAnsi="Times New Roman" w:eastAsia="仿宋_GB2312" w:cs="Times New Roman"/>
          <w:b/>
          <w:bCs/>
          <w:kern w:val="0"/>
          <w:sz w:val="32"/>
          <w:szCs w:val="32"/>
          <w:highlight w:val="none"/>
          <w:lang w:eastAsia="zh-CN"/>
        </w:rPr>
        <w:t>一是</w:t>
      </w:r>
      <w:r>
        <w:rPr>
          <w:rFonts w:hint="default" w:ascii="Times New Roman" w:hAnsi="Times New Roman" w:eastAsia="仿宋_GB2312" w:cs="Times New Roman"/>
          <w:b/>
          <w:bCs/>
          <w:kern w:val="0"/>
          <w:sz w:val="32"/>
          <w:szCs w:val="32"/>
          <w:highlight w:val="none"/>
        </w:rPr>
        <w:t>坚持思想政治引领。</w:t>
      </w:r>
      <w:r>
        <w:rPr>
          <w:rFonts w:hint="default" w:ascii="Times New Roman" w:hAnsi="Times New Roman" w:eastAsia="仿宋_GB2312" w:cs="Times New Roman"/>
          <w:b w:val="0"/>
          <w:bCs w:val="0"/>
          <w:kern w:val="0"/>
          <w:sz w:val="32"/>
          <w:szCs w:val="32"/>
          <w:highlight w:val="none"/>
        </w:rPr>
        <w:t>街道有针对性地开展普法学习教育活动，年初印发中心组专题学习重点内容安排、学法安排等计划，提升基层法治建设能力。今年来，组织街道中心组学法12次，机关工作人员参加普法知识讲座5场。加强行政执法队伍专业化职业化建设，确保每人每年接受不少于60学时的业务知识和法律法规培训。</w:t>
      </w:r>
      <w:r>
        <w:rPr>
          <w:rFonts w:hint="default" w:ascii="Times New Roman" w:hAnsi="Times New Roman" w:eastAsia="仿宋_GB2312" w:cs="Times New Roman"/>
          <w:b/>
          <w:bCs/>
          <w:kern w:val="0"/>
          <w:sz w:val="32"/>
          <w:szCs w:val="32"/>
          <w:highlight w:val="none"/>
          <w:lang w:eastAsia="zh-CN"/>
        </w:rPr>
        <w:t>二是</w:t>
      </w:r>
      <w:r>
        <w:rPr>
          <w:rFonts w:hint="default" w:ascii="Times New Roman" w:hAnsi="Times New Roman" w:eastAsia="仿宋_GB2312" w:cs="Times New Roman"/>
          <w:b/>
          <w:bCs/>
          <w:kern w:val="0"/>
          <w:sz w:val="32"/>
          <w:szCs w:val="32"/>
          <w:highlight w:val="none"/>
        </w:rPr>
        <w:t>加强法治宣传教育，着力营造法治氛围。</w:t>
      </w:r>
      <w:r>
        <w:rPr>
          <w:rFonts w:hint="default" w:ascii="Times New Roman" w:hAnsi="Times New Roman" w:eastAsia="仿宋_GB2312" w:cs="Times New Roman"/>
          <w:b w:val="0"/>
          <w:bCs w:val="0"/>
          <w:kern w:val="0"/>
          <w:sz w:val="32"/>
          <w:szCs w:val="32"/>
          <w:highlight w:val="none"/>
        </w:rPr>
        <w:t>坚持把开展学习贯彻习近平新时代中国特色社会主义思想主题教育作为头等大事和首要政治任务，倾听基层意见建议。结合“千人进万企送法护企促发展”行动，组织相关职能部门深入辖区内民营企业开展法律法规宣传。深化“法律进学校”，深入崇德、泉秀实验等小学开展宪法、民法典、未成年人保护法、预防未成年人犯罪法、家庭教育促进法等法治教育。深入充分利用网络、LED显示屏、横幅等现代传媒作用，开展内容丰富的法治宣传教育活动。</w:t>
      </w:r>
      <w:r>
        <w:rPr>
          <w:rFonts w:hint="default" w:ascii="Times New Roman" w:hAnsi="Times New Roman" w:eastAsia="仿宋_GB2312" w:cs="Times New Roman"/>
          <w:b/>
          <w:bCs/>
          <w:kern w:val="0"/>
          <w:sz w:val="32"/>
          <w:szCs w:val="32"/>
          <w:highlight w:val="none"/>
          <w:lang w:eastAsia="zh-CN"/>
        </w:rPr>
        <w:t>三是</w:t>
      </w:r>
      <w:r>
        <w:rPr>
          <w:rFonts w:hint="default" w:ascii="Times New Roman" w:hAnsi="Times New Roman" w:eastAsia="仿宋_GB2312" w:cs="Times New Roman"/>
          <w:b/>
          <w:bCs/>
          <w:kern w:val="0"/>
          <w:sz w:val="32"/>
          <w:szCs w:val="32"/>
          <w:highlight w:val="none"/>
        </w:rPr>
        <w:t>加强推进社会主义法治文化建设。</w:t>
      </w:r>
      <w:r>
        <w:rPr>
          <w:rFonts w:hint="default" w:ascii="Times New Roman" w:hAnsi="Times New Roman" w:eastAsia="仿宋_GB2312" w:cs="Times New Roman"/>
          <w:b w:val="0"/>
          <w:bCs w:val="0"/>
          <w:kern w:val="0"/>
          <w:sz w:val="32"/>
          <w:szCs w:val="32"/>
          <w:highlight w:val="none"/>
        </w:rPr>
        <w:t>推进“法律明白人”培养工程，2025年组织“法律明白人”培训讲座12场，在辖区内增培“法律明白人”20人。加强“蒲公英”法治品牌建设，组织普法志愿者在蒲公英平台开展宣传活动，今年累计登记时长104.18小时。深化法治文化阵地建设，华丰法治公园、法治广场、民法典长廊等法治文化阵地，通过多种形式推动法治文化宣传。</w:t>
      </w:r>
      <w:r>
        <w:rPr>
          <w:rFonts w:hint="default" w:ascii="Times New Roman" w:hAnsi="Times New Roman" w:eastAsia="仿宋_GB2312" w:cs="Times New Roman"/>
          <w:b/>
          <w:bCs/>
          <w:kern w:val="0"/>
          <w:sz w:val="32"/>
          <w:szCs w:val="32"/>
          <w:highlight w:val="none"/>
          <w:lang w:eastAsia="zh-CN"/>
        </w:rPr>
        <w:t>四是</w:t>
      </w:r>
      <w:r>
        <w:rPr>
          <w:rFonts w:hint="default" w:ascii="Times New Roman" w:hAnsi="Times New Roman" w:eastAsia="仿宋_GB2312" w:cs="Times New Roman"/>
          <w:b/>
          <w:bCs/>
          <w:kern w:val="0"/>
          <w:sz w:val="32"/>
          <w:szCs w:val="32"/>
          <w:highlight w:val="none"/>
        </w:rPr>
        <w:t>深化基层依法治理，健全矛盾纠纷调处化解体系。</w:t>
      </w:r>
      <w:r>
        <w:rPr>
          <w:rFonts w:hint="default" w:ascii="Times New Roman" w:hAnsi="Times New Roman" w:eastAsia="仿宋_GB2312" w:cs="Times New Roman"/>
          <w:b w:val="0"/>
          <w:bCs w:val="0"/>
          <w:kern w:val="0"/>
          <w:sz w:val="32"/>
          <w:szCs w:val="32"/>
          <w:highlight w:val="none"/>
        </w:rPr>
        <w:t>一是坚持和发展新时代“枫桥经验”，以法治引领基层治理，把矛盾纠纷化解在基层、化解在萌芽状态，筑牢基层平安法治防线。全年共排查各类矛盾纠纷101起，涉案金额310万元，化解率达100%，做到 “小事不出网格、大事不出社区、矛盾不上交”。二是畅通信访诉求渠道，严格落实信访工作责任制，坚持依法依规处理信访事项，耐心倾听群众诉求，积极协调相关部门解决群众合理诉求，引导群众通过合法途径表达诉求、维护权益，全年解决群众信访158件、极端扬言92起，有效维护了辖区信访秩序和社会稳定。</w:t>
      </w:r>
      <w:r>
        <w:rPr>
          <w:rFonts w:hint="default" w:ascii="Times New Roman" w:hAnsi="Times New Roman" w:eastAsia="仿宋_GB2312" w:cs="Times New Roman"/>
          <w:b/>
          <w:bCs/>
          <w:kern w:val="0"/>
          <w:sz w:val="32"/>
          <w:szCs w:val="32"/>
          <w:highlight w:val="none"/>
          <w:lang w:eastAsia="zh-CN"/>
        </w:rPr>
        <w:t>五是</w:t>
      </w:r>
      <w:r>
        <w:rPr>
          <w:rFonts w:hint="default" w:ascii="Times New Roman" w:hAnsi="Times New Roman" w:eastAsia="仿宋_GB2312" w:cs="Times New Roman"/>
          <w:b/>
          <w:bCs/>
          <w:kern w:val="0"/>
          <w:sz w:val="32"/>
          <w:szCs w:val="32"/>
          <w:highlight w:val="none"/>
        </w:rPr>
        <w:t>加强重点普法主题宣传。</w:t>
      </w:r>
      <w:r>
        <w:rPr>
          <w:rFonts w:hint="default" w:ascii="Times New Roman" w:hAnsi="Times New Roman" w:eastAsia="仿宋_GB2312" w:cs="Times New Roman"/>
          <w:b w:val="0"/>
          <w:bCs w:val="0"/>
          <w:kern w:val="0"/>
          <w:sz w:val="32"/>
          <w:szCs w:val="32"/>
          <w:highlight w:val="none"/>
        </w:rPr>
        <w:t>落实“谁执法谁普法”责任制，紧紧围绕重要时间节点，扎实开展宪法、民法典、反有组织犯罪法、预防青少年违法犯罪、殡葬管理条例、物业管理“四升一降”等法律法规宣传，结合辖区日常管理，开展《泉州市市容和环境卫生管理条例》《泉州市机动车停车管理条例》等地方性法规宣传。积极宣传与居民群众生产、生活密切相关的法律法规，不断扩大法治宣传覆盖面，努力提升辖区公民法治意识和法治素养。今年来共举办法律法规宣传咨询活动18场（次），法律知识讲座场10（次）；悬挂和法治宣传横幅标语50多条 ；发放普法资料3500多份（册）。</w:t>
      </w:r>
    </w:p>
    <w:p w14:paraId="7C3A9E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 w:val="0"/>
          <w:bCs w:val="0"/>
          <w:kern w:val="0"/>
          <w:sz w:val="32"/>
          <w:szCs w:val="32"/>
          <w:highlight w:val="none"/>
          <w:shd w:val="clear" w:color="auto" w:fill="FFFFFF"/>
          <w:lang w:val="en-US" w:eastAsia="zh-CN" w:bidi="ar-SA"/>
        </w:rPr>
      </w:pPr>
      <w:r>
        <w:rPr>
          <w:rFonts w:hint="default" w:ascii="Times New Roman" w:hAnsi="Times New Roman" w:eastAsia="黑体" w:cs="Times New Roman"/>
          <w:b w:val="0"/>
          <w:bCs w:val="0"/>
          <w:kern w:val="0"/>
          <w:sz w:val="32"/>
          <w:szCs w:val="32"/>
          <w:highlight w:val="none"/>
          <w:shd w:val="clear" w:color="auto" w:fill="FFFFFF"/>
          <w:lang w:val="en-US" w:eastAsia="zh-CN" w:bidi="ar-SA"/>
        </w:rPr>
        <w:t>二、存在的问题</w:t>
      </w:r>
    </w:p>
    <w:p w14:paraId="582354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一是法治宣传教育的形式和内容仍需创新，部分普法活动针对性、实效性不够强，群众参与度有待进一步提升；</w:t>
      </w:r>
    </w:p>
    <w:p w14:paraId="019CC1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二是基层依法治理能力仍需加强，部分社区干部、网格员运用法治思维和法治方式化解矛盾、开展工作的能力还有待提升；</w:t>
      </w:r>
    </w:p>
    <w:p w14:paraId="728A2F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kern w:val="0"/>
          <w:sz w:val="32"/>
          <w:szCs w:val="32"/>
          <w:highlight w:val="none"/>
          <w:lang w:eastAsia="zh-CN"/>
        </w:rPr>
      </w:pPr>
      <w:r>
        <w:rPr>
          <w:rFonts w:hint="default" w:ascii="Times New Roman" w:hAnsi="Times New Roman" w:eastAsia="仿宋_GB2312" w:cs="Times New Roman"/>
          <w:b w:val="0"/>
          <w:bCs w:val="0"/>
          <w:kern w:val="0"/>
          <w:sz w:val="32"/>
          <w:szCs w:val="32"/>
          <w:highlight w:val="none"/>
        </w:rPr>
        <w:t>三是法治建设与基层治理的融合深度不够，法治在基层治理中的引领作用发挥不够充</w:t>
      </w:r>
      <w:r>
        <w:rPr>
          <w:rFonts w:hint="default" w:ascii="Times New Roman" w:hAnsi="Times New Roman" w:eastAsia="仿宋_GB2312" w:cs="Times New Roman"/>
          <w:b w:val="0"/>
          <w:bCs w:val="0"/>
          <w:kern w:val="0"/>
          <w:sz w:val="32"/>
          <w:szCs w:val="32"/>
          <w:highlight w:val="none"/>
          <w:lang w:eastAsia="zh-CN"/>
        </w:rPr>
        <w:t>。</w:t>
      </w:r>
    </w:p>
    <w:p w14:paraId="1E1704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 w:val="0"/>
          <w:bCs w:val="0"/>
          <w:kern w:val="0"/>
          <w:sz w:val="32"/>
          <w:szCs w:val="32"/>
          <w:highlight w:val="none"/>
          <w:shd w:val="clear" w:color="auto" w:fill="FFFFFF"/>
          <w:lang w:val="en-US" w:eastAsia="zh-CN" w:bidi="ar-SA"/>
        </w:rPr>
      </w:pPr>
      <w:r>
        <w:rPr>
          <w:rFonts w:hint="default" w:ascii="Times New Roman" w:hAnsi="Times New Roman" w:eastAsia="黑体" w:cs="Times New Roman"/>
          <w:b w:val="0"/>
          <w:bCs w:val="0"/>
          <w:kern w:val="0"/>
          <w:sz w:val="32"/>
          <w:szCs w:val="32"/>
          <w:highlight w:val="none"/>
          <w:shd w:val="clear" w:color="auto" w:fill="FFFFFF"/>
          <w:lang w:val="en-US" w:eastAsia="zh-CN" w:bidi="ar-SA"/>
        </w:rPr>
        <w:t>三、2026年工作要点</w:t>
      </w:r>
    </w:p>
    <w:p w14:paraId="38E7EC8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楷体_GB2312" w:cs="Times New Roman"/>
          <w:b/>
          <w:bCs/>
          <w:kern w:val="0"/>
          <w:sz w:val="32"/>
          <w:szCs w:val="32"/>
          <w:highlight w:val="none"/>
        </w:rPr>
        <w:t>（一）强化思想引领，持续筑牢法治根</w:t>
      </w:r>
      <w:r>
        <w:rPr>
          <w:rFonts w:hint="default" w:ascii="Times New Roman" w:hAnsi="Times New Roman" w:eastAsia="楷体_GB2312" w:cs="Times New Roman"/>
          <w:b/>
          <w:bCs/>
          <w:kern w:val="0"/>
          <w:sz w:val="32"/>
          <w:szCs w:val="32"/>
          <w:highlight w:val="none"/>
          <w:lang w:eastAsia="zh-CN"/>
        </w:rPr>
        <w:t>。</w:t>
      </w:r>
      <w:r>
        <w:rPr>
          <w:rFonts w:hint="default" w:ascii="Times New Roman" w:hAnsi="Times New Roman" w:eastAsia="仿宋_GB2312" w:cs="Times New Roman"/>
          <w:b w:val="0"/>
          <w:bCs w:val="0"/>
          <w:kern w:val="0"/>
          <w:sz w:val="32"/>
          <w:szCs w:val="32"/>
          <w:highlight w:val="none"/>
        </w:rPr>
        <w:t>始终把党的领导摆在法治政府建设首位，持续深化习近平法治思想学习宣传贯彻，常态化开展干部法治教育培训，不断提升干部政治素养和法治履职能力。严格落实法治政府建设工作责任制，健全督查考核机制，压实工作责任，确保法治建设各项任务落地落细。</w:t>
      </w:r>
    </w:p>
    <w:p w14:paraId="5345246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楷体_GB2312" w:cs="Times New Roman"/>
          <w:b/>
          <w:bCs/>
          <w:kern w:val="0"/>
          <w:sz w:val="32"/>
          <w:szCs w:val="32"/>
          <w:highlight w:val="none"/>
        </w:rPr>
        <w:t>（二）坚持依法行政，持续规范行政行</w:t>
      </w:r>
      <w:r>
        <w:rPr>
          <w:rFonts w:hint="default" w:ascii="Times New Roman" w:hAnsi="Times New Roman" w:eastAsia="楷体_GB2312" w:cs="Times New Roman"/>
          <w:b/>
          <w:bCs/>
          <w:kern w:val="0"/>
          <w:sz w:val="32"/>
          <w:szCs w:val="32"/>
          <w:highlight w:val="none"/>
          <w:lang w:eastAsia="zh-CN"/>
        </w:rPr>
        <w:t>。</w:t>
      </w:r>
      <w:r>
        <w:rPr>
          <w:rFonts w:hint="default" w:ascii="Times New Roman" w:hAnsi="Times New Roman" w:eastAsia="仿宋_GB2312" w:cs="Times New Roman"/>
          <w:b w:val="0"/>
          <w:bCs w:val="0"/>
          <w:kern w:val="0"/>
          <w:sz w:val="32"/>
          <w:szCs w:val="32"/>
          <w:highlight w:val="none"/>
        </w:rPr>
        <w:t>严格落实重大行政决策法定程序，充分发挥法律顾问作用，不断提升依法决策、科学决策水平。持续规范行政执法行为，严格落实行政执法 “三项制度”，加强行政执法队伍培训，提升文明执法、规范执法能力。深化政务公开标准化建设，拓宽公开渠道，提升政务公开质效，切实保障群众合法权益。</w:t>
      </w:r>
    </w:p>
    <w:p w14:paraId="33CCA2B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val="0"/>
          <w:kern w:val="0"/>
          <w:sz w:val="32"/>
          <w:szCs w:val="32"/>
          <w:highlight w:val="none"/>
          <w:lang w:val="en-US" w:eastAsia="zh-CN"/>
        </w:rPr>
      </w:pPr>
      <w:r>
        <w:rPr>
          <w:rFonts w:hint="default" w:ascii="Times New Roman" w:hAnsi="Times New Roman" w:eastAsia="楷体_GB2312" w:cs="Times New Roman"/>
          <w:b/>
          <w:bCs/>
          <w:kern w:val="0"/>
          <w:sz w:val="32"/>
          <w:szCs w:val="32"/>
          <w:highlight w:val="none"/>
        </w:rPr>
        <w:t>（三）深化普法治理，持续提升法治</w:t>
      </w:r>
      <w:r>
        <w:rPr>
          <w:rFonts w:hint="default" w:ascii="Times New Roman" w:hAnsi="Times New Roman" w:eastAsia="楷体_GB2312" w:cs="Times New Roman"/>
          <w:b/>
          <w:bCs/>
          <w:kern w:val="0"/>
          <w:sz w:val="32"/>
          <w:szCs w:val="32"/>
          <w:highlight w:val="none"/>
          <w:lang w:eastAsia="zh-CN"/>
        </w:rPr>
        <w:t>。</w:t>
      </w:r>
      <w:r>
        <w:rPr>
          <w:rFonts w:hint="default" w:ascii="Times New Roman" w:hAnsi="Times New Roman" w:eastAsia="仿宋_GB2312" w:cs="Times New Roman"/>
          <w:b w:val="0"/>
          <w:bCs w:val="0"/>
          <w:kern w:val="0"/>
          <w:sz w:val="32"/>
          <w:szCs w:val="32"/>
          <w:highlight w:val="none"/>
        </w:rPr>
        <w:t>创新普法宣传形式和内容，开展精准化、特色化普法活动，聚焦群众急难愁盼问题，把普法与解纷、服务相结合，切实提升普法实效。持续深化新时代“枫桥经验”实践，健全矛盾纠纷排查化解机制，做强人民调解工作，畅通信访诉求渠道，切实把矛盾化解在基层。完善基层公共法律服务体系，提升法律服务质量，让群众享受到更加便捷、优质的法治服务。</w:t>
      </w:r>
    </w:p>
    <w:p w14:paraId="5830E628">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sz w:val="32"/>
          <w:szCs w:val="32"/>
          <w:highlight w:val="none"/>
          <w:shd w:val="clear" w:color="auto" w:fill="FFFFFF"/>
          <w:lang w:val="en-US" w:eastAsia="zh-CN"/>
        </w:rPr>
      </w:pPr>
    </w:p>
    <w:p w14:paraId="704BC073">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sz w:val="32"/>
          <w:szCs w:val="32"/>
          <w:highlight w:val="none"/>
          <w:shd w:val="clear" w:color="auto" w:fill="FFFFFF"/>
          <w:lang w:val="en-US" w:eastAsia="zh-CN"/>
        </w:rPr>
      </w:pPr>
    </w:p>
    <w:p w14:paraId="1F874F7A">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default" w:ascii="Times New Roman" w:hAnsi="Times New Roman" w:eastAsia="仿宋_GB2312" w:cs="Times New Roman"/>
          <w:b w:val="0"/>
          <w:bCs w:val="0"/>
          <w:sz w:val="32"/>
          <w:szCs w:val="32"/>
          <w:highlight w:val="none"/>
          <w:shd w:val="clear" w:color="auto" w:fill="FFFFFF"/>
        </w:rPr>
      </w:pPr>
      <w:r>
        <w:rPr>
          <w:rFonts w:hint="default" w:ascii="Times New Roman" w:hAnsi="Times New Roman" w:eastAsia="仿宋_GB2312" w:cs="Times New Roman"/>
          <w:b w:val="0"/>
          <w:bCs w:val="0"/>
          <w:sz w:val="32"/>
          <w:szCs w:val="32"/>
          <w:highlight w:val="none"/>
          <w:shd w:val="clear" w:color="auto" w:fill="FFFFFF"/>
          <w:lang w:val="en-US" w:eastAsia="zh-CN"/>
        </w:rPr>
        <w:t>泉州市</w:t>
      </w:r>
      <w:r>
        <w:rPr>
          <w:rFonts w:hint="default" w:ascii="Times New Roman" w:hAnsi="Times New Roman" w:eastAsia="仿宋_GB2312" w:cs="Times New Roman"/>
          <w:b w:val="0"/>
          <w:bCs w:val="0"/>
          <w:sz w:val="32"/>
          <w:szCs w:val="32"/>
          <w:highlight w:val="none"/>
          <w:shd w:val="clear" w:color="auto" w:fill="FFFFFF"/>
        </w:rPr>
        <w:t>丰泽区人民政府泉秀街道办事处</w:t>
      </w:r>
    </w:p>
    <w:p w14:paraId="1C04151A">
      <w:pPr>
        <w:keepNext w:val="0"/>
        <w:keepLines w:val="0"/>
        <w:pageBreakBefore w:val="0"/>
        <w:kinsoku/>
        <w:wordWrap/>
        <w:overflowPunct/>
        <w:topLinePunct w:val="0"/>
        <w:autoSpaceDE/>
        <w:autoSpaceDN/>
        <w:bidi w:val="0"/>
        <w:adjustRightInd/>
        <w:snapToGrid/>
        <w:spacing w:line="579" w:lineRule="exact"/>
        <w:ind w:left="0" w:leftChars="0" w:firstLine="4838" w:firstLineChars="1512"/>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shd w:val="clear" w:color="auto" w:fill="FFFFFF"/>
        </w:rPr>
        <w:t>202</w:t>
      </w:r>
      <w:r>
        <w:rPr>
          <w:rFonts w:hint="default" w:ascii="Times New Roman" w:hAnsi="Times New Roman" w:eastAsia="仿宋_GB2312" w:cs="Times New Roman"/>
          <w:b w:val="0"/>
          <w:bCs w:val="0"/>
          <w:sz w:val="32"/>
          <w:szCs w:val="32"/>
          <w:highlight w:val="none"/>
          <w:shd w:val="clear" w:color="auto" w:fill="FFFFFF"/>
          <w:lang w:val="en-US" w:eastAsia="zh-CN"/>
        </w:rPr>
        <w:t>6</w:t>
      </w:r>
      <w:r>
        <w:rPr>
          <w:rFonts w:hint="default" w:ascii="Times New Roman" w:hAnsi="Times New Roman" w:eastAsia="仿宋_GB2312" w:cs="Times New Roman"/>
          <w:b w:val="0"/>
          <w:bCs w:val="0"/>
          <w:sz w:val="32"/>
          <w:szCs w:val="32"/>
          <w:highlight w:val="none"/>
          <w:shd w:val="clear" w:color="auto" w:fill="FFFFFF"/>
        </w:rPr>
        <w:t>年1月</w:t>
      </w:r>
      <w:r>
        <w:rPr>
          <w:rFonts w:hint="default" w:ascii="Times New Roman" w:hAnsi="Times New Roman" w:eastAsia="仿宋_GB2312" w:cs="Times New Roman"/>
          <w:b w:val="0"/>
          <w:bCs w:val="0"/>
          <w:sz w:val="32"/>
          <w:szCs w:val="32"/>
          <w:highlight w:val="none"/>
          <w:shd w:val="clear" w:color="auto" w:fill="FFFFFF"/>
          <w:lang w:val="en-US" w:eastAsia="zh-CN"/>
        </w:rPr>
        <w:t>13</w:t>
      </w:r>
      <w:r>
        <w:rPr>
          <w:rFonts w:hint="default" w:ascii="Times New Roman" w:hAnsi="Times New Roman" w:eastAsia="仿宋_GB2312" w:cs="Times New Roman"/>
          <w:b w:val="0"/>
          <w:bCs w:val="0"/>
          <w:sz w:val="32"/>
          <w:szCs w:val="32"/>
          <w:highlight w:val="none"/>
          <w:shd w:val="clear" w:color="auto" w:fill="FFFFFF"/>
        </w:rPr>
        <w:t>日</w:t>
      </w:r>
    </w:p>
    <w:p w14:paraId="535B1D02">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p>
    <w:p w14:paraId="73BAE6A6">
      <w:pPr>
        <w:keepNext w:val="0"/>
        <w:keepLines w:val="0"/>
        <w:pageBreakBefore w:val="0"/>
        <w:tabs>
          <w:tab w:val="left" w:pos="1080"/>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14:paraId="4C4AB9AB">
      <w:pPr>
        <w:keepNext w:val="0"/>
        <w:keepLines w:val="0"/>
        <w:pageBreakBefore w:val="0"/>
        <w:tabs>
          <w:tab w:val="left" w:pos="1080"/>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14:paraId="48EA48C1">
      <w:pPr>
        <w:pStyle w:val="5"/>
        <w:rPr>
          <w:rFonts w:hint="default" w:ascii="Times New Roman" w:hAnsi="Times New Roman" w:eastAsia="仿宋_GB2312" w:cs="Times New Roman"/>
          <w:sz w:val="32"/>
          <w:szCs w:val="32"/>
        </w:rPr>
      </w:pPr>
    </w:p>
    <w:p w14:paraId="1B5D2ECA">
      <w:pPr>
        <w:rPr>
          <w:rFonts w:hint="default" w:ascii="Times New Roman" w:hAnsi="Times New Roman" w:cs="Times New Roman"/>
        </w:rPr>
      </w:pPr>
    </w:p>
    <w:p w14:paraId="0B3B710E">
      <w:pPr>
        <w:rPr>
          <w:rFonts w:hint="default" w:ascii="Times New Roman" w:hAnsi="Times New Roman" w:eastAsia="仿宋_GB2312" w:cs="Times New Roman"/>
          <w:sz w:val="32"/>
          <w:szCs w:val="32"/>
        </w:rPr>
      </w:pPr>
    </w:p>
    <w:p w14:paraId="6887B9DC">
      <w:pPr>
        <w:pStyle w:val="5"/>
        <w:rPr>
          <w:rFonts w:hint="default" w:ascii="Times New Roman" w:hAnsi="Times New Roman" w:eastAsia="仿宋_GB2312" w:cs="Times New Roman"/>
          <w:sz w:val="32"/>
          <w:szCs w:val="32"/>
        </w:rPr>
      </w:pPr>
    </w:p>
    <w:p w14:paraId="22B98D64">
      <w:pPr>
        <w:rPr>
          <w:rFonts w:hint="default" w:ascii="Times New Roman" w:hAnsi="Times New Roman" w:cs="Times New Roman"/>
        </w:rPr>
      </w:pPr>
    </w:p>
    <w:tbl>
      <w:tblPr>
        <w:tblStyle w:val="12"/>
        <w:tblpPr w:leftFromText="180" w:rightFromText="180" w:vertAnchor="page" w:horzAnchor="page" w:tblpX="1427" w:tblpY="14422"/>
        <w:tblW w:w="928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250AA0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86" w:type="dxa"/>
          </w:tcPr>
          <w:p w14:paraId="6801395E">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w:t>
            </w:r>
            <w:r>
              <w:rPr>
                <w:rFonts w:hint="default" w:ascii="Times New Roman" w:hAnsi="Times New Roman" w:eastAsia="仿宋_GB2312" w:cs="Times New Roman"/>
                <w:color w:val="auto"/>
                <w:sz w:val="28"/>
                <w:szCs w:val="28"/>
              </w:rPr>
              <w:t xml:space="preserve">丰泽区人民政府泉秀街道办事处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rPr>
              <w:t>日印发</w:t>
            </w:r>
          </w:p>
        </w:tc>
      </w:tr>
    </w:tbl>
    <w:p w14:paraId="683E1D77">
      <w:pPr>
        <w:rPr>
          <w:rFonts w:hint="default" w:ascii="Times New Roman" w:hAnsi="Times New Roman" w:cs="Times New Roman"/>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D836">
    <w:pPr>
      <w:pStyle w:val="9"/>
      <w:tabs>
        <w:tab w:val="left" w:pos="7638"/>
        <w:tab w:val="right" w:pos="8704"/>
      </w:tabs>
      <w:wordWrap w:val="0"/>
      <w:ind w:right="140"/>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w:t>
    </w:r>
  </w:p>
  <w:p w14:paraId="310B610C">
    <w:pPr>
      <w:pStyle w:val="9"/>
      <w:tabs>
        <w:tab w:val="left" w:pos="14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224">
    <w:pPr>
      <w:pStyle w:val="9"/>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w:t>
    </w:r>
  </w:p>
  <w:p w14:paraId="1CD2719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191D">
    <w:pPr>
      <w:pStyle w:val="9"/>
      <w:jc w:val="right"/>
    </w:pPr>
  </w:p>
  <w:p w14:paraId="2BA6096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842C">
    <w:pPr>
      <w:pStyle w:val="10"/>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272A">
    <w:pPr>
      <w:pStyle w:val="10"/>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320C">
    <w:pPr>
      <w:pStyle w:val="10"/>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MjBmYTJmYTA0ZjQ5MThkYzhjOThiNzEwOWQyY2QifQ=="/>
  </w:docVars>
  <w:rsids>
    <w:rsidRoot w:val="00172A27"/>
    <w:rsid w:val="0000245A"/>
    <w:rsid w:val="0001120B"/>
    <w:rsid w:val="00012F3A"/>
    <w:rsid w:val="0001446B"/>
    <w:rsid w:val="00022CEF"/>
    <w:rsid w:val="00024633"/>
    <w:rsid w:val="00037C28"/>
    <w:rsid w:val="000405D8"/>
    <w:rsid w:val="00044ABC"/>
    <w:rsid w:val="00056582"/>
    <w:rsid w:val="00060E63"/>
    <w:rsid w:val="00061F78"/>
    <w:rsid w:val="00063693"/>
    <w:rsid w:val="00064B5E"/>
    <w:rsid w:val="00081353"/>
    <w:rsid w:val="00082362"/>
    <w:rsid w:val="00085C9F"/>
    <w:rsid w:val="000864BC"/>
    <w:rsid w:val="00094280"/>
    <w:rsid w:val="000A5A92"/>
    <w:rsid w:val="000A7EFF"/>
    <w:rsid w:val="000B3A3C"/>
    <w:rsid w:val="000B3AB8"/>
    <w:rsid w:val="000B749B"/>
    <w:rsid w:val="000C08DD"/>
    <w:rsid w:val="000C29D2"/>
    <w:rsid w:val="000C2B00"/>
    <w:rsid w:val="000C464A"/>
    <w:rsid w:val="000C7B57"/>
    <w:rsid w:val="000D0030"/>
    <w:rsid w:val="000D0C89"/>
    <w:rsid w:val="000D3A82"/>
    <w:rsid w:val="000D3F83"/>
    <w:rsid w:val="000D7106"/>
    <w:rsid w:val="000D718F"/>
    <w:rsid w:val="000F47F7"/>
    <w:rsid w:val="001019A8"/>
    <w:rsid w:val="00106D4E"/>
    <w:rsid w:val="001076F6"/>
    <w:rsid w:val="001100C4"/>
    <w:rsid w:val="00111FAB"/>
    <w:rsid w:val="001144A2"/>
    <w:rsid w:val="001201A6"/>
    <w:rsid w:val="0013032C"/>
    <w:rsid w:val="0013417A"/>
    <w:rsid w:val="00136BCF"/>
    <w:rsid w:val="0014369A"/>
    <w:rsid w:val="00143D55"/>
    <w:rsid w:val="00145B8F"/>
    <w:rsid w:val="00153964"/>
    <w:rsid w:val="0015538E"/>
    <w:rsid w:val="00166909"/>
    <w:rsid w:val="00171647"/>
    <w:rsid w:val="001718EB"/>
    <w:rsid w:val="00172A27"/>
    <w:rsid w:val="00181312"/>
    <w:rsid w:val="0018287A"/>
    <w:rsid w:val="0018740E"/>
    <w:rsid w:val="00190615"/>
    <w:rsid w:val="0019231F"/>
    <w:rsid w:val="00194118"/>
    <w:rsid w:val="00197488"/>
    <w:rsid w:val="001A1864"/>
    <w:rsid w:val="001A25C4"/>
    <w:rsid w:val="001A6633"/>
    <w:rsid w:val="001B0729"/>
    <w:rsid w:val="001C1A12"/>
    <w:rsid w:val="001C1C27"/>
    <w:rsid w:val="001D698D"/>
    <w:rsid w:val="001E2AA7"/>
    <w:rsid w:val="001E4701"/>
    <w:rsid w:val="001E7DC6"/>
    <w:rsid w:val="001F172D"/>
    <w:rsid w:val="001F4649"/>
    <w:rsid w:val="001F5C73"/>
    <w:rsid w:val="001F5CE3"/>
    <w:rsid w:val="001F647B"/>
    <w:rsid w:val="001F6E29"/>
    <w:rsid w:val="00202F8F"/>
    <w:rsid w:val="00206747"/>
    <w:rsid w:val="00212CAD"/>
    <w:rsid w:val="00212FA4"/>
    <w:rsid w:val="002202D2"/>
    <w:rsid w:val="002346C4"/>
    <w:rsid w:val="00236FE5"/>
    <w:rsid w:val="00240CFE"/>
    <w:rsid w:val="0024496A"/>
    <w:rsid w:val="00245CAB"/>
    <w:rsid w:val="002505B0"/>
    <w:rsid w:val="00254559"/>
    <w:rsid w:val="00257D0A"/>
    <w:rsid w:val="002705E1"/>
    <w:rsid w:val="002734B6"/>
    <w:rsid w:val="00274381"/>
    <w:rsid w:val="00275796"/>
    <w:rsid w:val="002817C6"/>
    <w:rsid w:val="002817EE"/>
    <w:rsid w:val="002828BA"/>
    <w:rsid w:val="002829B8"/>
    <w:rsid w:val="002841A2"/>
    <w:rsid w:val="00286B4D"/>
    <w:rsid w:val="00287AF8"/>
    <w:rsid w:val="00287F6C"/>
    <w:rsid w:val="00291ADF"/>
    <w:rsid w:val="00297379"/>
    <w:rsid w:val="002A67C3"/>
    <w:rsid w:val="002B2AE5"/>
    <w:rsid w:val="002C0A98"/>
    <w:rsid w:val="002C357D"/>
    <w:rsid w:val="002D0A63"/>
    <w:rsid w:val="002D0D17"/>
    <w:rsid w:val="002D4B42"/>
    <w:rsid w:val="002E00BC"/>
    <w:rsid w:val="002E4DAD"/>
    <w:rsid w:val="002F0DF3"/>
    <w:rsid w:val="002F4234"/>
    <w:rsid w:val="002F7356"/>
    <w:rsid w:val="00304783"/>
    <w:rsid w:val="00306D4F"/>
    <w:rsid w:val="003119E4"/>
    <w:rsid w:val="00312D11"/>
    <w:rsid w:val="0031551B"/>
    <w:rsid w:val="00317FF6"/>
    <w:rsid w:val="003255F3"/>
    <w:rsid w:val="003346FD"/>
    <w:rsid w:val="00336A6F"/>
    <w:rsid w:val="00337CBA"/>
    <w:rsid w:val="003433A5"/>
    <w:rsid w:val="00353B04"/>
    <w:rsid w:val="00357F49"/>
    <w:rsid w:val="00362364"/>
    <w:rsid w:val="00362879"/>
    <w:rsid w:val="00374C90"/>
    <w:rsid w:val="00381816"/>
    <w:rsid w:val="00383C94"/>
    <w:rsid w:val="0038594D"/>
    <w:rsid w:val="003862B2"/>
    <w:rsid w:val="003909C9"/>
    <w:rsid w:val="003920C1"/>
    <w:rsid w:val="003A1496"/>
    <w:rsid w:val="003B2631"/>
    <w:rsid w:val="003C1667"/>
    <w:rsid w:val="003C1D1F"/>
    <w:rsid w:val="003C2EE0"/>
    <w:rsid w:val="003C6B60"/>
    <w:rsid w:val="003D04D1"/>
    <w:rsid w:val="003D13DF"/>
    <w:rsid w:val="003D194E"/>
    <w:rsid w:val="003D2859"/>
    <w:rsid w:val="003D712F"/>
    <w:rsid w:val="003D76E5"/>
    <w:rsid w:val="003F0845"/>
    <w:rsid w:val="003F34E9"/>
    <w:rsid w:val="003F74FE"/>
    <w:rsid w:val="004025A7"/>
    <w:rsid w:val="00403215"/>
    <w:rsid w:val="004054C9"/>
    <w:rsid w:val="00405B38"/>
    <w:rsid w:val="00410F0C"/>
    <w:rsid w:val="00412570"/>
    <w:rsid w:val="00414F41"/>
    <w:rsid w:val="004156B5"/>
    <w:rsid w:val="0042038C"/>
    <w:rsid w:val="00423A17"/>
    <w:rsid w:val="00423ED6"/>
    <w:rsid w:val="004309EB"/>
    <w:rsid w:val="00430F4A"/>
    <w:rsid w:val="004348AD"/>
    <w:rsid w:val="00437118"/>
    <w:rsid w:val="0044058A"/>
    <w:rsid w:val="004439A3"/>
    <w:rsid w:val="004526FF"/>
    <w:rsid w:val="00455189"/>
    <w:rsid w:val="00460000"/>
    <w:rsid w:val="00462288"/>
    <w:rsid w:val="004628AF"/>
    <w:rsid w:val="00472E9D"/>
    <w:rsid w:val="00475802"/>
    <w:rsid w:val="0047726A"/>
    <w:rsid w:val="00477DA0"/>
    <w:rsid w:val="00486268"/>
    <w:rsid w:val="004878CD"/>
    <w:rsid w:val="004924C7"/>
    <w:rsid w:val="004A20DE"/>
    <w:rsid w:val="004A224E"/>
    <w:rsid w:val="004A461B"/>
    <w:rsid w:val="004A7D5F"/>
    <w:rsid w:val="004C2978"/>
    <w:rsid w:val="004F0F39"/>
    <w:rsid w:val="004F4B98"/>
    <w:rsid w:val="00501A96"/>
    <w:rsid w:val="00503CAE"/>
    <w:rsid w:val="00504B50"/>
    <w:rsid w:val="00504FE8"/>
    <w:rsid w:val="0050649B"/>
    <w:rsid w:val="0050734A"/>
    <w:rsid w:val="0051045A"/>
    <w:rsid w:val="005136A2"/>
    <w:rsid w:val="00517702"/>
    <w:rsid w:val="005206AC"/>
    <w:rsid w:val="00525F65"/>
    <w:rsid w:val="005337E6"/>
    <w:rsid w:val="005461AE"/>
    <w:rsid w:val="0055516A"/>
    <w:rsid w:val="0055775C"/>
    <w:rsid w:val="00561752"/>
    <w:rsid w:val="00572124"/>
    <w:rsid w:val="00574CEA"/>
    <w:rsid w:val="005753F5"/>
    <w:rsid w:val="00580E80"/>
    <w:rsid w:val="00587403"/>
    <w:rsid w:val="00587AB8"/>
    <w:rsid w:val="00591002"/>
    <w:rsid w:val="00591DCD"/>
    <w:rsid w:val="005A04A3"/>
    <w:rsid w:val="005A40A3"/>
    <w:rsid w:val="005A49E2"/>
    <w:rsid w:val="005A643B"/>
    <w:rsid w:val="005C2664"/>
    <w:rsid w:val="005C4C94"/>
    <w:rsid w:val="005D025E"/>
    <w:rsid w:val="005D1117"/>
    <w:rsid w:val="005D357E"/>
    <w:rsid w:val="005E5E4A"/>
    <w:rsid w:val="005F2531"/>
    <w:rsid w:val="006011FA"/>
    <w:rsid w:val="00603D17"/>
    <w:rsid w:val="006045FD"/>
    <w:rsid w:val="006063AF"/>
    <w:rsid w:val="00610F75"/>
    <w:rsid w:val="006173B6"/>
    <w:rsid w:val="0063049C"/>
    <w:rsid w:val="0063306F"/>
    <w:rsid w:val="0064203E"/>
    <w:rsid w:val="00650357"/>
    <w:rsid w:val="00651AE0"/>
    <w:rsid w:val="00661B98"/>
    <w:rsid w:val="00664C05"/>
    <w:rsid w:val="00666DB8"/>
    <w:rsid w:val="00670295"/>
    <w:rsid w:val="00673169"/>
    <w:rsid w:val="00693281"/>
    <w:rsid w:val="00696F6D"/>
    <w:rsid w:val="0069753E"/>
    <w:rsid w:val="006A1473"/>
    <w:rsid w:val="006A1EA8"/>
    <w:rsid w:val="006A2B87"/>
    <w:rsid w:val="006C02A1"/>
    <w:rsid w:val="006C6BC5"/>
    <w:rsid w:val="006C6D31"/>
    <w:rsid w:val="006D7611"/>
    <w:rsid w:val="006E2A6D"/>
    <w:rsid w:val="006E2DC6"/>
    <w:rsid w:val="006E2E2A"/>
    <w:rsid w:val="006E49CD"/>
    <w:rsid w:val="006F4F93"/>
    <w:rsid w:val="006F6F9F"/>
    <w:rsid w:val="006F77A9"/>
    <w:rsid w:val="006F7959"/>
    <w:rsid w:val="007032F9"/>
    <w:rsid w:val="00703D51"/>
    <w:rsid w:val="0070551D"/>
    <w:rsid w:val="00705C44"/>
    <w:rsid w:val="00733664"/>
    <w:rsid w:val="00733FA6"/>
    <w:rsid w:val="00734173"/>
    <w:rsid w:val="00734837"/>
    <w:rsid w:val="0073506A"/>
    <w:rsid w:val="007371E9"/>
    <w:rsid w:val="00740D4C"/>
    <w:rsid w:val="00741D6D"/>
    <w:rsid w:val="007437CC"/>
    <w:rsid w:val="00757A35"/>
    <w:rsid w:val="00757FAC"/>
    <w:rsid w:val="00763266"/>
    <w:rsid w:val="00763579"/>
    <w:rsid w:val="00771678"/>
    <w:rsid w:val="007730EA"/>
    <w:rsid w:val="007736AB"/>
    <w:rsid w:val="007742D1"/>
    <w:rsid w:val="0078004B"/>
    <w:rsid w:val="0078263F"/>
    <w:rsid w:val="00783036"/>
    <w:rsid w:val="00790814"/>
    <w:rsid w:val="00791AD0"/>
    <w:rsid w:val="00791FF1"/>
    <w:rsid w:val="00792589"/>
    <w:rsid w:val="00794DD5"/>
    <w:rsid w:val="00795973"/>
    <w:rsid w:val="007A39DF"/>
    <w:rsid w:val="007A3E91"/>
    <w:rsid w:val="007B1D7C"/>
    <w:rsid w:val="007B2508"/>
    <w:rsid w:val="007B6B51"/>
    <w:rsid w:val="007C016C"/>
    <w:rsid w:val="007C03FD"/>
    <w:rsid w:val="007C0896"/>
    <w:rsid w:val="007C4B5E"/>
    <w:rsid w:val="007C4B6F"/>
    <w:rsid w:val="007C5053"/>
    <w:rsid w:val="007D500A"/>
    <w:rsid w:val="007D5390"/>
    <w:rsid w:val="007D60D8"/>
    <w:rsid w:val="007E3830"/>
    <w:rsid w:val="007E3B55"/>
    <w:rsid w:val="007E6033"/>
    <w:rsid w:val="007F3E2B"/>
    <w:rsid w:val="007F595E"/>
    <w:rsid w:val="0080239C"/>
    <w:rsid w:val="00814801"/>
    <w:rsid w:val="00820DCF"/>
    <w:rsid w:val="00851EFC"/>
    <w:rsid w:val="008536E4"/>
    <w:rsid w:val="008538E1"/>
    <w:rsid w:val="008566DD"/>
    <w:rsid w:val="008639BB"/>
    <w:rsid w:val="00872568"/>
    <w:rsid w:val="0088394D"/>
    <w:rsid w:val="008846CD"/>
    <w:rsid w:val="00890B95"/>
    <w:rsid w:val="008919F6"/>
    <w:rsid w:val="00892831"/>
    <w:rsid w:val="0089691F"/>
    <w:rsid w:val="00896B72"/>
    <w:rsid w:val="008A2ADE"/>
    <w:rsid w:val="008A6181"/>
    <w:rsid w:val="008B545D"/>
    <w:rsid w:val="008C04BD"/>
    <w:rsid w:val="008C0E67"/>
    <w:rsid w:val="008C37A7"/>
    <w:rsid w:val="008C681F"/>
    <w:rsid w:val="008D71A1"/>
    <w:rsid w:val="008E197C"/>
    <w:rsid w:val="008E3960"/>
    <w:rsid w:val="008E3A34"/>
    <w:rsid w:val="008E4C24"/>
    <w:rsid w:val="008E5E9D"/>
    <w:rsid w:val="008F1C1C"/>
    <w:rsid w:val="008F5F63"/>
    <w:rsid w:val="008F6C02"/>
    <w:rsid w:val="00902010"/>
    <w:rsid w:val="00902B1E"/>
    <w:rsid w:val="00903A44"/>
    <w:rsid w:val="00906052"/>
    <w:rsid w:val="009070D4"/>
    <w:rsid w:val="009071B0"/>
    <w:rsid w:val="0091378F"/>
    <w:rsid w:val="00913A20"/>
    <w:rsid w:val="00915649"/>
    <w:rsid w:val="00915817"/>
    <w:rsid w:val="009309D6"/>
    <w:rsid w:val="00930D92"/>
    <w:rsid w:val="00935940"/>
    <w:rsid w:val="009359D9"/>
    <w:rsid w:val="00943548"/>
    <w:rsid w:val="00946EB3"/>
    <w:rsid w:val="009473C7"/>
    <w:rsid w:val="009476F3"/>
    <w:rsid w:val="00947C15"/>
    <w:rsid w:val="009505EF"/>
    <w:rsid w:val="009539B0"/>
    <w:rsid w:val="00954CD7"/>
    <w:rsid w:val="009564E9"/>
    <w:rsid w:val="00956CFB"/>
    <w:rsid w:val="00962AF4"/>
    <w:rsid w:val="00962EA7"/>
    <w:rsid w:val="00963E7A"/>
    <w:rsid w:val="00964C2F"/>
    <w:rsid w:val="00971DA6"/>
    <w:rsid w:val="00972D23"/>
    <w:rsid w:val="0097703D"/>
    <w:rsid w:val="0098009D"/>
    <w:rsid w:val="00986906"/>
    <w:rsid w:val="0099264F"/>
    <w:rsid w:val="0099290F"/>
    <w:rsid w:val="009946FA"/>
    <w:rsid w:val="009A3E27"/>
    <w:rsid w:val="009A4B34"/>
    <w:rsid w:val="009B3E68"/>
    <w:rsid w:val="009B775A"/>
    <w:rsid w:val="009C77CA"/>
    <w:rsid w:val="009C7B6C"/>
    <w:rsid w:val="009D3AE2"/>
    <w:rsid w:val="009D7412"/>
    <w:rsid w:val="009E0220"/>
    <w:rsid w:val="009E23B5"/>
    <w:rsid w:val="009E2599"/>
    <w:rsid w:val="009E3BB9"/>
    <w:rsid w:val="00A11D9C"/>
    <w:rsid w:val="00A310A0"/>
    <w:rsid w:val="00A42462"/>
    <w:rsid w:val="00A43942"/>
    <w:rsid w:val="00A450E7"/>
    <w:rsid w:val="00A479E6"/>
    <w:rsid w:val="00A47CD1"/>
    <w:rsid w:val="00A52224"/>
    <w:rsid w:val="00A535EF"/>
    <w:rsid w:val="00A60AB5"/>
    <w:rsid w:val="00A633BB"/>
    <w:rsid w:val="00A63598"/>
    <w:rsid w:val="00A63CBB"/>
    <w:rsid w:val="00A66F58"/>
    <w:rsid w:val="00A76BCB"/>
    <w:rsid w:val="00A80925"/>
    <w:rsid w:val="00A815F4"/>
    <w:rsid w:val="00A83F57"/>
    <w:rsid w:val="00A86CE9"/>
    <w:rsid w:val="00A90CBC"/>
    <w:rsid w:val="00A91C4D"/>
    <w:rsid w:val="00A971B3"/>
    <w:rsid w:val="00AA00B2"/>
    <w:rsid w:val="00AA3D18"/>
    <w:rsid w:val="00AA5128"/>
    <w:rsid w:val="00AA7592"/>
    <w:rsid w:val="00AB0DF0"/>
    <w:rsid w:val="00AC4E5F"/>
    <w:rsid w:val="00AC5E6E"/>
    <w:rsid w:val="00AC6834"/>
    <w:rsid w:val="00AD0EC5"/>
    <w:rsid w:val="00AD1DB9"/>
    <w:rsid w:val="00AF33DC"/>
    <w:rsid w:val="00AF45D5"/>
    <w:rsid w:val="00B007BE"/>
    <w:rsid w:val="00B0184A"/>
    <w:rsid w:val="00B019C2"/>
    <w:rsid w:val="00B1406E"/>
    <w:rsid w:val="00B15348"/>
    <w:rsid w:val="00B17078"/>
    <w:rsid w:val="00B21A35"/>
    <w:rsid w:val="00B21EEC"/>
    <w:rsid w:val="00B241B8"/>
    <w:rsid w:val="00B306DD"/>
    <w:rsid w:val="00B34AC2"/>
    <w:rsid w:val="00B46E0B"/>
    <w:rsid w:val="00B52BBF"/>
    <w:rsid w:val="00B55C34"/>
    <w:rsid w:val="00B5702E"/>
    <w:rsid w:val="00B60877"/>
    <w:rsid w:val="00B66A33"/>
    <w:rsid w:val="00B70261"/>
    <w:rsid w:val="00B756F4"/>
    <w:rsid w:val="00B77EBF"/>
    <w:rsid w:val="00B81463"/>
    <w:rsid w:val="00B86B12"/>
    <w:rsid w:val="00B9591D"/>
    <w:rsid w:val="00B973E9"/>
    <w:rsid w:val="00BA0E4E"/>
    <w:rsid w:val="00BA45A1"/>
    <w:rsid w:val="00BB776B"/>
    <w:rsid w:val="00BC4B63"/>
    <w:rsid w:val="00BC5D6F"/>
    <w:rsid w:val="00BC7265"/>
    <w:rsid w:val="00BD0F65"/>
    <w:rsid w:val="00BD2B9C"/>
    <w:rsid w:val="00BE2A3F"/>
    <w:rsid w:val="00BE5DA4"/>
    <w:rsid w:val="00BE66DF"/>
    <w:rsid w:val="00BE767B"/>
    <w:rsid w:val="00BF2349"/>
    <w:rsid w:val="00BF3573"/>
    <w:rsid w:val="00BF387B"/>
    <w:rsid w:val="00BF3EDB"/>
    <w:rsid w:val="00BF4695"/>
    <w:rsid w:val="00BF5AB8"/>
    <w:rsid w:val="00C02D1E"/>
    <w:rsid w:val="00C059F9"/>
    <w:rsid w:val="00C06165"/>
    <w:rsid w:val="00C11B7D"/>
    <w:rsid w:val="00C140E8"/>
    <w:rsid w:val="00C1440C"/>
    <w:rsid w:val="00C16117"/>
    <w:rsid w:val="00C1657E"/>
    <w:rsid w:val="00C17090"/>
    <w:rsid w:val="00C2004E"/>
    <w:rsid w:val="00C34FCF"/>
    <w:rsid w:val="00C36B18"/>
    <w:rsid w:val="00C41654"/>
    <w:rsid w:val="00C4181D"/>
    <w:rsid w:val="00C43855"/>
    <w:rsid w:val="00C479EE"/>
    <w:rsid w:val="00C57819"/>
    <w:rsid w:val="00C613E2"/>
    <w:rsid w:val="00C65490"/>
    <w:rsid w:val="00C659B5"/>
    <w:rsid w:val="00C67166"/>
    <w:rsid w:val="00C70AB9"/>
    <w:rsid w:val="00C71314"/>
    <w:rsid w:val="00C7273D"/>
    <w:rsid w:val="00C72CCB"/>
    <w:rsid w:val="00C740D9"/>
    <w:rsid w:val="00C848D6"/>
    <w:rsid w:val="00C85208"/>
    <w:rsid w:val="00C8574F"/>
    <w:rsid w:val="00CA18D5"/>
    <w:rsid w:val="00CB489F"/>
    <w:rsid w:val="00CB4BF1"/>
    <w:rsid w:val="00CC2D0B"/>
    <w:rsid w:val="00CC5BCC"/>
    <w:rsid w:val="00CC5E65"/>
    <w:rsid w:val="00CD15E2"/>
    <w:rsid w:val="00CD734B"/>
    <w:rsid w:val="00CD7BE4"/>
    <w:rsid w:val="00CE1059"/>
    <w:rsid w:val="00CE29C4"/>
    <w:rsid w:val="00CF1700"/>
    <w:rsid w:val="00CF78C4"/>
    <w:rsid w:val="00D073EE"/>
    <w:rsid w:val="00D14E3B"/>
    <w:rsid w:val="00D227FB"/>
    <w:rsid w:val="00D25B38"/>
    <w:rsid w:val="00D3689F"/>
    <w:rsid w:val="00D44C29"/>
    <w:rsid w:val="00D47055"/>
    <w:rsid w:val="00D53898"/>
    <w:rsid w:val="00D67737"/>
    <w:rsid w:val="00D710D2"/>
    <w:rsid w:val="00D73773"/>
    <w:rsid w:val="00D82BC5"/>
    <w:rsid w:val="00D8581C"/>
    <w:rsid w:val="00D90C5F"/>
    <w:rsid w:val="00D90DD6"/>
    <w:rsid w:val="00D913A2"/>
    <w:rsid w:val="00D95B2A"/>
    <w:rsid w:val="00D97B1A"/>
    <w:rsid w:val="00DA0024"/>
    <w:rsid w:val="00DA0338"/>
    <w:rsid w:val="00DA22CA"/>
    <w:rsid w:val="00DA40EC"/>
    <w:rsid w:val="00DA4A13"/>
    <w:rsid w:val="00DA60B4"/>
    <w:rsid w:val="00DA796A"/>
    <w:rsid w:val="00DB0335"/>
    <w:rsid w:val="00DB1987"/>
    <w:rsid w:val="00DB4252"/>
    <w:rsid w:val="00DB4AD3"/>
    <w:rsid w:val="00DB722F"/>
    <w:rsid w:val="00DC4F28"/>
    <w:rsid w:val="00DC5B8B"/>
    <w:rsid w:val="00DC62D0"/>
    <w:rsid w:val="00DC7029"/>
    <w:rsid w:val="00DD1FC1"/>
    <w:rsid w:val="00DF22EF"/>
    <w:rsid w:val="00DF3149"/>
    <w:rsid w:val="00DF73AA"/>
    <w:rsid w:val="00E04140"/>
    <w:rsid w:val="00E10C9F"/>
    <w:rsid w:val="00E13C72"/>
    <w:rsid w:val="00E2227C"/>
    <w:rsid w:val="00E34759"/>
    <w:rsid w:val="00E42A1C"/>
    <w:rsid w:val="00E45FEF"/>
    <w:rsid w:val="00E55D8C"/>
    <w:rsid w:val="00E55EA6"/>
    <w:rsid w:val="00E56753"/>
    <w:rsid w:val="00E5707E"/>
    <w:rsid w:val="00E57222"/>
    <w:rsid w:val="00E631EC"/>
    <w:rsid w:val="00E665E4"/>
    <w:rsid w:val="00E7020E"/>
    <w:rsid w:val="00E77268"/>
    <w:rsid w:val="00E87FE6"/>
    <w:rsid w:val="00E919B5"/>
    <w:rsid w:val="00E946CA"/>
    <w:rsid w:val="00E96A50"/>
    <w:rsid w:val="00EA0366"/>
    <w:rsid w:val="00EA14CD"/>
    <w:rsid w:val="00EA7A3C"/>
    <w:rsid w:val="00EB12AC"/>
    <w:rsid w:val="00EB203F"/>
    <w:rsid w:val="00EB2F78"/>
    <w:rsid w:val="00EB45E7"/>
    <w:rsid w:val="00EC5D45"/>
    <w:rsid w:val="00ED0AE1"/>
    <w:rsid w:val="00ED3D72"/>
    <w:rsid w:val="00EE1907"/>
    <w:rsid w:val="00EE7499"/>
    <w:rsid w:val="00EF21D1"/>
    <w:rsid w:val="00EF5A9D"/>
    <w:rsid w:val="00EF633F"/>
    <w:rsid w:val="00EF6650"/>
    <w:rsid w:val="00F029B5"/>
    <w:rsid w:val="00F032F5"/>
    <w:rsid w:val="00F04B15"/>
    <w:rsid w:val="00F118CD"/>
    <w:rsid w:val="00F16DEC"/>
    <w:rsid w:val="00F212AC"/>
    <w:rsid w:val="00F218B2"/>
    <w:rsid w:val="00F25ABA"/>
    <w:rsid w:val="00F3028F"/>
    <w:rsid w:val="00F327D8"/>
    <w:rsid w:val="00F421BE"/>
    <w:rsid w:val="00F43631"/>
    <w:rsid w:val="00F52DC2"/>
    <w:rsid w:val="00F537AA"/>
    <w:rsid w:val="00F55452"/>
    <w:rsid w:val="00F556C2"/>
    <w:rsid w:val="00F63706"/>
    <w:rsid w:val="00F65CB5"/>
    <w:rsid w:val="00F66C40"/>
    <w:rsid w:val="00F717DE"/>
    <w:rsid w:val="00F7233C"/>
    <w:rsid w:val="00F74847"/>
    <w:rsid w:val="00F778F1"/>
    <w:rsid w:val="00F77C2A"/>
    <w:rsid w:val="00F80E58"/>
    <w:rsid w:val="00F821E4"/>
    <w:rsid w:val="00F835AC"/>
    <w:rsid w:val="00F8485E"/>
    <w:rsid w:val="00F85993"/>
    <w:rsid w:val="00F87F43"/>
    <w:rsid w:val="00F9051F"/>
    <w:rsid w:val="00FA32D5"/>
    <w:rsid w:val="00FB08A8"/>
    <w:rsid w:val="00FB0E86"/>
    <w:rsid w:val="00FB20D2"/>
    <w:rsid w:val="00FB36CC"/>
    <w:rsid w:val="00FB6815"/>
    <w:rsid w:val="00FC2FE0"/>
    <w:rsid w:val="00FC35D6"/>
    <w:rsid w:val="00FC54F4"/>
    <w:rsid w:val="00FD6F1B"/>
    <w:rsid w:val="00FE1AFC"/>
    <w:rsid w:val="00FE75B1"/>
    <w:rsid w:val="00FF0694"/>
    <w:rsid w:val="00FF1DA6"/>
    <w:rsid w:val="00FF2228"/>
    <w:rsid w:val="048D3C85"/>
    <w:rsid w:val="07B42F31"/>
    <w:rsid w:val="084B3BE4"/>
    <w:rsid w:val="09511A59"/>
    <w:rsid w:val="0AAC10FD"/>
    <w:rsid w:val="0AED4C65"/>
    <w:rsid w:val="0C7F638D"/>
    <w:rsid w:val="0DF04F6A"/>
    <w:rsid w:val="0E456C42"/>
    <w:rsid w:val="0E7D3C55"/>
    <w:rsid w:val="0EC2148A"/>
    <w:rsid w:val="0EFF5127"/>
    <w:rsid w:val="0F61774B"/>
    <w:rsid w:val="0FFC1BD9"/>
    <w:rsid w:val="123C051C"/>
    <w:rsid w:val="12D0036B"/>
    <w:rsid w:val="13935EAB"/>
    <w:rsid w:val="14F5446D"/>
    <w:rsid w:val="151C33B2"/>
    <w:rsid w:val="1696199B"/>
    <w:rsid w:val="16F419B4"/>
    <w:rsid w:val="192839B5"/>
    <w:rsid w:val="1B861841"/>
    <w:rsid w:val="1DCA77EF"/>
    <w:rsid w:val="1F4C6780"/>
    <w:rsid w:val="20D30DF2"/>
    <w:rsid w:val="20D94EF4"/>
    <w:rsid w:val="211F12AE"/>
    <w:rsid w:val="22026B85"/>
    <w:rsid w:val="286463E6"/>
    <w:rsid w:val="28E940C9"/>
    <w:rsid w:val="29275693"/>
    <w:rsid w:val="29561734"/>
    <w:rsid w:val="297E3C7F"/>
    <w:rsid w:val="2AD908DC"/>
    <w:rsid w:val="2B0A0276"/>
    <w:rsid w:val="2BFB0FD0"/>
    <w:rsid w:val="2C2422F5"/>
    <w:rsid w:val="2F3D025D"/>
    <w:rsid w:val="2F5C17E6"/>
    <w:rsid w:val="2FC562AC"/>
    <w:rsid w:val="30194954"/>
    <w:rsid w:val="33FF4D42"/>
    <w:rsid w:val="3424001A"/>
    <w:rsid w:val="354422EF"/>
    <w:rsid w:val="356928AF"/>
    <w:rsid w:val="38AC7189"/>
    <w:rsid w:val="390B5A5B"/>
    <w:rsid w:val="39175561"/>
    <w:rsid w:val="3A6A3A15"/>
    <w:rsid w:val="3CCB3A6D"/>
    <w:rsid w:val="3E3C3672"/>
    <w:rsid w:val="3E472C25"/>
    <w:rsid w:val="41B051C0"/>
    <w:rsid w:val="4221770A"/>
    <w:rsid w:val="451231DA"/>
    <w:rsid w:val="45E66B3C"/>
    <w:rsid w:val="48A945F9"/>
    <w:rsid w:val="496E2CE5"/>
    <w:rsid w:val="49E0092E"/>
    <w:rsid w:val="4A4A2C39"/>
    <w:rsid w:val="4AA2661A"/>
    <w:rsid w:val="4AE155EA"/>
    <w:rsid w:val="4B552AA6"/>
    <w:rsid w:val="4C201050"/>
    <w:rsid w:val="4C7C31E7"/>
    <w:rsid w:val="4FA871BC"/>
    <w:rsid w:val="504925C9"/>
    <w:rsid w:val="50516BA0"/>
    <w:rsid w:val="50911E89"/>
    <w:rsid w:val="51F423B3"/>
    <w:rsid w:val="52D576F4"/>
    <w:rsid w:val="533260C8"/>
    <w:rsid w:val="54C93027"/>
    <w:rsid w:val="567B29ED"/>
    <w:rsid w:val="5796443F"/>
    <w:rsid w:val="57CB6E97"/>
    <w:rsid w:val="57CF180D"/>
    <w:rsid w:val="58B968CF"/>
    <w:rsid w:val="5906339C"/>
    <w:rsid w:val="5A6B25A2"/>
    <w:rsid w:val="5AD90D18"/>
    <w:rsid w:val="5C1F35AE"/>
    <w:rsid w:val="5D5213D5"/>
    <w:rsid w:val="607138C8"/>
    <w:rsid w:val="614F04EA"/>
    <w:rsid w:val="615573BE"/>
    <w:rsid w:val="632905BE"/>
    <w:rsid w:val="63997465"/>
    <w:rsid w:val="660A2875"/>
    <w:rsid w:val="690454CC"/>
    <w:rsid w:val="69882699"/>
    <w:rsid w:val="69AE3CF0"/>
    <w:rsid w:val="6A736F31"/>
    <w:rsid w:val="6A8A1E2C"/>
    <w:rsid w:val="6BF07722"/>
    <w:rsid w:val="6C662BE4"/>
    <w:rsid w:val="6DA170E8"/>
    <w:rsid w:val="6E4F60A1"/>
    <w:rsid w:val="70A254D7"/>
    <w:rsid w:val="718F6CC7"/>
    <w:rsid w:val="73854316"/>
    <w:rsid w:val="74D03A8E"/>
    <w:rsid w:val="74F72EF3"/>
    <w:rsid w:val="77F44B8E"/>
    <w:rsid w:val="79246A5D"/>
    <w:rsid w:val="7951461C"/>
    <w:rsid w:val="7B1227F8"/>
    <w:rsid w:val="7DCEC196"/>
    <w:rsid w:val="7F7D3E00"/>
    <w:rsid w:val="C1E94356"/>
    <w:rsid w:val="CFBF5756"/>
    <w:rsid w:val="DFFE59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locked/>
    <w:uiPriority w:val="0"/>
    <w:pPr>
      <w:ind w:firstLine="420" w:firstLineChars="200"/>
    </w:pPr>
    <w:rPr>
      <w:szCs w:val="24"/>
    </w:rPr>
  </w:style>
  <w:style w:type="paragraph" w:styleId="4">
    <w:name w:val="Body Text"/>
    <w:basedOn w:val="1"/>
    <w:link w:val="31"/>
    <w:qFormat/>
    <w:locked/>
    <w:uiPriority w:val="0"/>
    <w:pPr>
      <w:jc w:val="center"/>
    </w:pPr>
    <w:rPr>
      <w:rFonts w:eastAsia="仿宋_GB2312"/>
      <w:spacing w:val="-20"/>
      <w:sz w:val="24"/>
      <w:szCs w:val="24"/>
    </w:rPr>
  </w:style>
  <w:style w:type="paragraph" w:styleId="5">
    <w:name w:val="Body Text Indent"/>
    <w:basedOn w:val="1"/>
    <w:next w:val="1"/>
    <w:link w:val="32"/>
    <w:qFormat/>
    <w:locked/>
    <w:uiPriority w:val="0"/>
    <w:pPr>
      <w:ind w:firstLine="640" w:firstLineChars="200"/>
    </w:pPr>
    <w:rPr>
      <w:rFonts w:ascii="仿宋_GB2312" w:eastAsia="仿宋_GB2312"/>
      <w:sz w:val="30"/>
      <w:szCs w:val="24"/>
    </w:rPr>
  </w:style>
  <w:style w:type="paragraph" w:styleId="6">
    <w:name w:val="Plain Text"/>
    <w:basedOn w:val="1"/>
    <w:link w:val="33"/>
    <w:qFormat/>
    <w:locked/>
    <w:uiPriority w:val="0"/>
    <w:rPr>
      <w:rFonts w:ascii="宋体" w:hAnsi="Courier New" w:cs="Courier New"/>
    </w:rPr>
  </w:style>
  <w:style w:type="paragraph" w:styleId="7">
    <w:name w:val="Date"/>
    <w:basedOn w:val="1"/>
    <w:next w:val="1"/>
    <w:link w:val="18"/>
    <w:qFormat/>
    <w:uiPriority w:val="0"/>
    <w:pPr>
      <w:ind w:left="100" w:leftChars="2500"/>
    </w:pPr>
  </w:style>
  <w:style w:type="paragraph" w:styleId="8">
    <w:name w:val="Balloon Text"/>
    <w:basedOn w:val="1"/>
    <w:link w:val="19"/>
    <w:semiHidden/>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1">
    <w:name w:val="Normal (Web)"/>
    <w:basedOn w:val="1"/>
    <w:qFormat/>
    <w:uiPriority w:val="0"/>
    <w:pPr>
      <w:spacing w:before="100" w:beforeAutospacing="1" w:after="100" w:afterAutospacing="1"/>
      <w:jc w:val="left"/>
    </w:pPr>
    <w:rPr>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cs="Times New Roman"/>
      <w:b/>
      <w:bCs/>
    </w:rPr>
  </w:style>
  <w:style w:type="character" w:styleId="16">
    <w:name w:val="page number"/>
    <w:basedOn w:val="14"/>
    <w:qFormat/>
    <w:uiPriority w:val="0"/>
    <w:rPr>
      <w:rFonts w:cs="Times New Roman"/>
    </w:rPr>
  </w:style>
  <w:style w:type="character" w:styleId="17">
    <w:name w:val="Hyperlink"/>
    <w:basedOn w:val="14"/>
    <w:qFormat/>
    <w:uiPriority w:val="99"/>
    <w:rPr>
      <w:rFonts w:cs="Times New Roman"/>
      <w:color w:val="0000FF"/>
      <w:u w:val="single"/>
    </w:rPr>
  </w:style>
  <w:style w:type="character" w:customStyle="1" w:styleId="18">
    <w:name w:val="日期 Char"/>
    <w:basedOn w:val="14"/>
    <w:link w:val="7"/>
    <w:qFormat/>
    <w:locked/>
    <w:uiPriority w:val="0"/>
    <w:rPr>
      <w:rFonts w:cs="Times New Roman"/>
      <w:kern w:val="2"/>
      <w:sz w:val="24"/>
      <w:szCs w:val="24"/>
    </w:rPr>
  </w:style>
  <w:style w:type="character" w:customStyle="1" w:styleId="19">
    <w:name w:val="批注框文本 Char"/>
    <w:basedOn w:val="14"/>
    <w:link w:val="8"/>
    <w:qFormat/>
    <w:locked/>
    <w:uiPriority w:val="99"/>
    <w:rPr>
      <w:rFonts w:cs="Times New Roman"/>
      <w:kern w:val="2"/>
      <w:sz w:val="18"/>
      <w:szCs w:val="18"/>
    </w:rPr>
  </w:style>
  <w:style w:type="character" w:customStyle="1" w:styleId="20">
    <w:name w:val="页脚 Char"/>
    <w:basedOn w:val="14"/>
    <w:link w:val="9"/>
    <w:qFormat/>
    <w:locked/>
    <w:uiPriority w:val="99"/>
    <w:rPr>
      <w:rFonts w:cs="Times New Roman"/>
      <w:kern w:val="2"/>
      <w:sz w:val="24"/>
      <w:szCs w:val="24"/>
    </w:rPr>
  </w:style>
  <w:style w:type="character" w:customStyle="1" w:styleId="21">
    <w:name w:val="页眉 Char"/>
    <w:basedOn w:val="14"/>
    <w:link w:val="10"/>
    <w:qFormat/>
    <w:locked/>
    <w:uiPriority w:val="0"/>
    <w:rPr>
      <w:rFonts w:cs="Times New Roman"/>
      <w:kern w:val="2"/>
      <w:sz w:val="24"/>
      <w:szCs w:val="24"/>
    </w:rPr>
  </w:style>
  <w:style w:type="paragraph" w:customStyle="1" w:styleId="22">
    <w:name w:val="修正1行"/>
    <w:basedOn w:val="1"/>
    <w:next w:val="1"/>
    <w:qFormat/>
    <w:uiPriority w:val="99"/>
    <w:pPr>
      <w:spacing w:line="480" w:lineRule="exact"/>
      <w:ind w:firstLine="200" w:firstLineChars="200"/>
    </w:pPr>
    <w:rPr>
      <w:rFonts w:ascii="宋体" w:hAnsi="宋体" w:eastAsia="仿宋_GB2312" w:cs="宋体"/>
      <w:sz w:val="32"/>
      <w:szCs w:val="32"/>
    </w:rPr>
  </w:style>
  <w:style w:type="paragraph" w:customStyle="1" w:styleId="23">
    <w:name w:val="Char Char Char Char Char Char"/>
    <w:basedOn w:val="1"/>
    <w:qFormat/>
    <w:uiPriority w:val="99"/>
    <w:pPr>
      <w:ind w:left="432" w:hanging="432"/>
    </w:pPr>
    <w:rPr>
      <w:sz w:val="24"/>
      <w:szCs w:val="24"/>
    </w:rPr>
  </w:style>
  <w:style w:type="character" w:customStyle="1" w:styleId="24">
    <w:name w:val="样式 仿宋_GB23121"/>
    <w:basedOn w:val="14"/>
    <w:qFormat/>
    <w:uiPriority w:val="99"/>
    <w:rPr>
      <w:rFonts w:ascii="仿宋_GB2312" w:hAnsi="仿宋_GB2312" w:eastAsia="仿宋_GB2312" w:cs="仿宋_GB2312"/>
      <w:sz w:val="32"/>
      <w:szCs w:val="32"/>
    </w:rPr>
  </w:style>
  <w:style w:type="paragraph" w:customStyle="1" w:styleId="25">
    <w:name w:val="content5"/>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6">
    <w:name w:val="List Paragraph"/>
    <w:basedOn w:val="1"/>
    <w:qFormat/>
    <w:uiPriority w:val="99"/>
    <w:pPr>
      <w:ind w:firstLine="420" w:firstLineChars="200"/>
    </w:pPr>
  </w:style>
  <w:style w:type="paragraph" w:customStyle="1" w:styleId="27">
    <w:name w:val="Default Paragraph Font Para Char"/>
    <w:basedOn w:val="1"/>
    <w:qFormat/>
    <w:uiPriority w:val="0"/>
    <w:pPr>
      <w:widowControl/>
      <w:spacing w:after="160" w:line="400" w:lineRule="exact"/>
      <w:jc w:val="left"/>
    </w:pPr>
    <w:rPr>
      <w:rFonts w:ascii="Verdana" w:hAnsi="Verdana" w:cs="Verdana"/>
      <w:kern w:val="0"/>
      <w:sz w:val="20"/>
      <w:szCs w:val="20"/>
      <w:lang w:eastAsia="en-US"/>
    </w:rPr>
  </w:style>
  <w:style w:type="paragraph" w:customStyle="1" w:styleId="28">
    <w:name w:val="Char Char Char Char Char Char Char Char Char Char Char Char Char Char Char Char Char Char Char"/>
    <w:basedOn w:val="1"/>
    <w:qFormat/>
    <w:uiPriority w:val="99"/>
    <w:pPr>
      <w:tabs>
        <w:tab w:val="left" w:pos="907"/>
      </w:tabs>
      <w:spacing w:line="540" w:lineRule="exact"/>
      <w:ind w:left="907" w:hanging="453" w:firstLineChars="200"/>
    </w:pPr>
    <w:rPr>
      <w:rFonts w:ascii="Calibri" w:hAnsi="Calibri" w:cs="Calibri"/>
      <w:sz w:val="24"/>
      <w:szCs w:val="24"/>
    </w:rPr>
  </w:style>
  <w:style w:type="paragraph" w:customStyle="1" w:styleId="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标题 1 Char"/>
    <w:basedOn w:val="14"/>
    <w:link w:val="2"/>
    <w:qFormat/>
    <w:uiPriority w:val="0"/>
    <w:rPr>
      <w:b/>
      <w:bCs/>
      <w:kern w:val="44"/>
      <w:sz w:val="44"/>
      <w:szCs w:val="44"/>
    </w:rPr>
  </w:style>
  <w:style w:type="character" w:customStyle="1" w:styleId="31">
    <w:name w:val="正文文本 Char"/>
    <w:basedOn w:val="14"/>
    <w:link w:val="4"/>
    <w:qFormat/>
    <w:uiPriority w:val="0"/>
    <w:rPr>
      <w:rFonts w:eastAsia="仿宋_GB2312"/>
      <w:spacing w:val="-20"/>
      <w:kern w:val="2"/>
      <w:sz w:val="24"/>
      <w:szCs w:val="24"/>
    </w:rPr>
  </w:style>
  <w:style w:type="character" w:customStyle="1" w:styleId="32">
    <w:name w:val="正文文本缩进 Char"/>
    <w:basedOn w:val="14"/>
    <w:link w:val="5"/>
    <w:qFormat/>
    <w:uiPriority w:val="0"/>
    <w:rPr>
      <w:rFonts w:ascii="仿宋_GB2312" w:eastAsia="仿宋_GB2312"/>
      <w:kern w:val="2"/>
      <w:sz w:val="30"/>
      <w:szCs w:val="24"/>
    </w:rPr>
  </w:style>
  <w:style w:type="character" w:customStyle="1" w:styleId="33">
    <w:name w:val="纯文本 Char"/>
    <w:basedOn w:val="14"/>
    <w:link w:val="6"/>
    <w:qFormat/>
    <w:uiPriority w:val="0"/>
    <w:rPr>
      <w:rFonts w:ascii="宋体" w:hAnsi="Courier New" w:cs="Courier New"/>
      <w:kern w:val="2"/>
      <w:sz w:val="21"/>
      <w:szCs w:val="21"/>
    </w:rPr>
  </w:style>
  <w:style w:type="paragraph" w:customStyle="1" w:styleId="34">
    <w:name w:val="Char Char"/>
    <w:basedOn w:val="1"/>
    <w:qFormat/>
    <w:uiPriority w:val="0"/>
    <w:pPr>
      <w:widowControl/>
      <w:spacing w:after="160" w:line="240" w:lineRule="exact"/>
      <w:ind w:firstLine="420" w:firstLineChars="200"/>
      <w:jc w:val="left"/>
    </w:pPr>
    <w:rPr>
      <w:rFonts w:ascii="Verdana" w:hAnsi="Verdana"/>
      <w:kern w:val="0"/>
      <w:szCs w:val="20"/>
      <w:lang w:eastAsia="en-US"/>
    </w:rPr>
  </w:style>
  <w:style w:type="paragraph" w:customStyle="1" w:styleId="35">
    <w:name w:val="p0"/>
    <w:basedOn w:val="1"/>
    <w:qFormat/>
    <w:uiPriority w:val="99"/>
    <w:pPr>
      <w:widowControl/>
    </w:pPr>
    <w:rPr>
      <w:rFonts w:ascii="Calibri" w:hAnsi="Calibri" w:cs="宋体"/>
      <w:kern w:val="0"/>
    </w:rPr>
  </w:style>
  <w:style w:type="character" w:customStyle="1" w:styleId="36">
    <w:name w:val="NormalCharacter"/>
    <w:semiHidden/>
    <w:qFormat/>
    <w:uiPriority w:val="0"/>
  </w:style>
  <w:style w:type="paragraph" w:customStyle="1" w:styleId="37">
    <w:name w:val="Body Text First Indent 21"/>
    <w:basedOn w:val="1"/>
    <w:qFormat/>
    <w:uiPriority w:val="0"/>
    <w:pPr>
      <w:spacing w:after="120" w:line="340" w:lineRule="exact"/>
      <w:ind w:left="420" w:leftChars="200" w:right="-139" w:hanging="26" w:hangingChars="26"/>
    </w:pPr>
    <w:rPr>
      <w:rFonts w:ascii="华文中宋" w:hAnsi="华文中宋" w:eastAsia="华文中宋"/>
      <w:sz w:val="24"/>
      <w:szCs w:val="20"/>
    </w:rPr>
  </w:style>
  <w:style w:type="paragraph" w:styleId="38">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39">
    <w:name w:val="标题1"/>
    <w:basedOn w:val="1"/>
    <w:next w:val="1"/>
    <w:qFormat/>
    <w:uiPriority w:val="0"/>
    <w:pPr>
      <w:tabs>
        <w:tab w:val="left" w:pos="9193"/>
        <w:tab w:val="left" w:pos="9827"/>
      </w:tabs>
      <w:autoSpaceDE w:val="0"/>
      <w:autoSpaceDN w:val="0"/>
      <w:snapToGrid w:val="0"/>
      <w:spacing w:beforeLines="50" w:afterLines="50" w:line="640" w:lineRule="exact"/>
      <w:jc w:val="center"/>
    </w:pPr>
    <w:rPr>
      <w:rFonts w:eastAsia="方正小标宋_GBK"/>
      <w:snapToGrid w:val="0"/>
      <w:kern w:val="0"/>
      <w:sz w:val="4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1138</Words>
  <Characters>1212</Characters>
  <Lines>19</Lines>
  <Paragraphs>5</Paragraphs>
  <TotalTime>92</TotalTime>
  <ScaleCrop>false</ScaleCrop>
  <LinksUpToDate>false</LinksUpToDate>
  <CharactersWithSpaces>1235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2021-08-25T15:38:00Z</dcterms:created>
  <dc:creator>微软用户</dc:creator>
  <cp:lastModifiedBy>阿怪說時間超快</cp:lastModifiedBy>
  <cp:lastPrinted>2025-01-05T11:41:00Z</cp:lastPrinted>
  <dcterms:modified xsi:type="dcterms:W3CDTF">2026-01-13T10:25:29Z</dcterms:modified>
  <dc:title>泉丰泉工委〔2013〕 号</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5D3F119FEC8B2C7675AB656918F125C3_43</vt:lpwstr>
  </property>
  <property fmtid="{D5CDD505-2E9C-101B-9397-08002B2CF9AE}" pid="4" name="KSOTemplateDocerSaveRecord">
    <vt:lpwstr>eyJoZGlkIjoiODFiMjBkY2FmYjEwMTAwYjBlMmQwMzQzYzY1ZTBlNGQiLCJ1c2VySWQiOiIzNzYzMzEwNTYifQ==</vt:lpwstr>
  </property>
</Properties>
</file>